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四川伊维康自动化设备有限公司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  <w:highlight w:val="none"/>
              </w:rPr>
              <w:t>第(</w:t>
            </w:r>
            <w:r>
              <w:rPr>
                <w:rFonts w:hint="eastAsia"/>
                <w:b/>
                <w:szCs w:val="21"/>
                <w:highlight w:val="none"/>
                <w:lang w:eastAsia="zh-CN"/>
              </w:rPr>
              <w:t>二</w:t>
            </w:r>
            <w:bookmarkStart w:id="13" w:name="_GoBack"/>
            <w:bookmarkEnd w:id="13"/>
            <w:r>
              <w:rPr>
                <w:rFonts w:hint="eastAsia"/>
                <w:b/>
                <w:szCs w:val="21"/>
                <w:highlight w:val="none"/>
              </w:rPr>
              <w:t>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5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0169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2021-09-23T05:36:44Z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2052-11.1.0.10938</vt:lpwstr>
  </property>
</Properties>
</file>