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21" w:name="_GoBack"/>
      <w:bookmarkEnd w:id="21"/>
      <w:r>
        <w:rPr>
          <w:rFonts w:hint="eastAsia"/>
          <w:b/>
          <w:color w:val="000000" w:themeColor="text1"/>
          <w:sz w:val="21"/>
          <w:szCs w:val="21"/>
        </w:rPr>
        <w:t>合同编号:</w:t>
      </w:r>
      <w:bookmarkStart w:id="0" w:name="合同编号"/>
      <w:r>
        <w:rPr>
          <w:b/>
          <w:bCs/>
          <w:color w:val="000000" w:themeColor="text1"/>
          <w:sz w:val="21"/>
          <w:szCs w:val="21"/>
          <w:u w:val="single"/>
        </w:rPr>
        <w:t>0693-2020-QEO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杭州邦凝生态环境建设发展有限公司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O:ISC-O-2020-0766,E:ISC-E-2020-0832,Q:ISC-Q-2020-1262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91330109MA2H1DRH8L</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O:45,E:45,Q:45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杭州邦凝生态环境建设发展有限公司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O：再生资源销售、城市和农村生活垃圾分类所涉及场所的相关职业健康安全管理活动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E：再生资源销售、城市和农村生活垃圾分类所涉及场所的相关环境管理活动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Q：再生资源销售、城市和农村生活垃圾分类</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GB" w:eastAsia="zh-CN" w:bidi="ar-SA"/>
              </w:rPr>
              <w:t>浙江省杭州市萧山区城厢街道湘湖路36-11号</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GB" w:eastAsia="zh-CN" w:bidi="ar-SA"/>
              </w:rPr>
              <w:t>浙江省杭州市萧山区城厢街道湘湖路36-11号</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9" w:name="组织名称Add2"/>
      <w:r>
        <w:rPr>
          <w:rFonts w:hint="eastAsia"/>
          <w:b/>
          <w:color w:val="000000" w:themeColor="text1"/>
          <w:sz w:val="22"/>
          <w:szCs w:val="22"/>
          <w:u w:val="single"/>
          <w:lang w:val="en-US" w:eastAsia="zh-CN"/>
        </w:rPr>
        <w:t>杭州邦凝生态环境建设发展有限公司</w:t>
      </w:r>
      <w:bookmarkEnd w:id="19"/>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0" w:name="证书编号Add1"/>
      <w:r>
        <w:rPr>
          <w:rFonts w:hint="eastAsia"/>
          <w:b/>
          <w:color w:val="000000" w:themeColor="text1"/>
          <w:sz w:val="22"/>
          <w:szCs w:val="22"/>
          <w:u w:val="single"/>
          <w:lang w:val="en-US" w:eastAsia="zh-CN"/>
        </w:rPr>
        <w:t>O:ISC-O-2020-0766,E:ISC-E-2020-0832,Q:ISC-Q-2020-1262</w:t>
      </w:r>
      <w:bookmarkEnd w:id="20"/>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浙江省杭州市萧山区城厢街道湘湖路36-11号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D12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2021-09-26T06:12:21Z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