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0990-2021-EO</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运城鑫工科技有限公司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2021年09月24日 下午至2021年09月24日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rPr>
              <w:sym w:font="Wingdings 2" w:char="0052"/>
            </w:r>
            <w:r>
              <w:rPr>
                <w:rFonts w:hint="eastAsia" w:ascii="宋体"/>
                <w:b/>
                <w:szCs w:val="21"/>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205"/>
        <w:gridCol w:w="1805"/>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205" w:type="dxa"/>
            <w:vAlign w:val="center"/>
          </w:tcPr>
          <w:p>
            <w:pPr>
              <w:spacing w:line="240" w:lineRule="exact"/>
              <w:jc w:val="center"/>
              <w:rPr>
                <w:b/>
                <w:color w:val="000000"/>
                <w:szCs w:val="21"/>
              </w:rPr>
            </w:pPr>
            <w:r>
              <w:rPr>
                <w:rFonts w:hint="eastAsia"/>
                <w:szCs w:val="21"/>
              </w:rPr>
              <w:t>审核员注册证书号</w:t>
            </w:r>
          </w:p>
        </w:tc>
        <w:tc>
          <w:tcPr>
            <w:tcW w:w="1805"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李俐</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205" w:type="dxa"/>
            <w:vAlign w:val="center"/>
          </w:tcPr>
          <w:p>
            <w:pPr>
              <w:spacing w:line="240" w:lineRule="exact"/>
              <w:jc w:val="center"/>
              <w:rPr>
                <w:b/>
                <w:color w:val="000000"/>
                <w:szCs w:val="21"/>
              </w:rPr>
            </w:pPr>
            <w:r>
              <w:rPr>
                <w:b/>
                <w:color w:val="000000"/>
                <w:szCs w:val="21"/>
              </w:rPr>
              <w:t>2018-N1EMS-1222792</w:t>
            </w:r>
          </w:p>
          <w:p>
            <w:pPr>
              <w:spacing w:line="240" w:lineRule="exact"/>
              <w:jc w:val="center"/>
              <w:rPr>
                <w:b/>
                <w:color w:val="000000"/>
                <w:szCs w:val="21"/>
              </w:rPr>
            </w:pPr>
            <w:r>
              <w:rPr>
                <w:b/>
                <w:color w:val="000000"/>
                <w:szCs w:val="21"/>
              </w:rPr>
              <w:t>2018-N1OHSMS-1222792</w:t>
            </w:r>
          </w:p>
        </w:tc>
        <w:tc>
          <w:tcPr>
            <w:tcW w:w="1805" w:type="dxa"/>
            <w:vAlign w:val="center"/>
          </w:tcPr>
          <w:p>
            <w:pPr>
              <w:spacing w:line="240" w:lineRule="exact"/>
              <w:jc w:val="center"/>
              <w:rPr>
                <w:b/>
                <w:color w:val="000000"/>
                <w:szCs w:val="21"/>
              </w:rPr>
            </w:pPr>
            <w:r>
              <w:rPr>
                <w:b/>
                <w:color w:val="000000"/>
                <w:szCs w:val="21"/>
              </w:rPr>
              <w:t>E:17.10.01,17.10.02,17.12.05</w:t>
            </w:r>
          </w:p>
          <w:p>
            <w:pPr>
              <w:spacing w:line="240" w:lineRule="exact"/>
              <w:jc w:val="center"/>
              <w:rPr>
                <w:b/>
                <w:color w:val="000000"/>
                <w:szCs w:val="21"/>
              </w:rPr>
            </w:pPr>
            <w:r>
              <w:rPr>
                <w:b/>
                <w:color w:val="000000"/>
                <w:szCs w:val="21"/>
              </w:rPr>
              <w:t>O:17.10.01,17.10.02,17.12.05</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强兴</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205" w:type="dxa"/>
            <w:vAlign w:val="center"/>
          </w:tcPr>
          <w:p>
            <w:pPr>
              <w:spacing w:line="240" w:lineRule="exact"/>
              <w:jc w:val="center"/>
              <w:rPr>
                <w:b/>
                <w:color w:val="000000"/>
                <w:szCs w:val="21"/>
              </w:rPr>
            </w:pPr>
            <w:r>
              <w:rPr>
                <w:b/>
                <w:color w:val="000000"/>
                <w:szCs w:val="21"/>
              </w:rPr>
              <w:t>2020-N1EMS-1263375</w:t>
            </w:r>
          </w:p>
          <w:p>
            <w:pPr>
              <w:spacing w:line="240" w:lineRule="exact"/>
              <w:jc w:val="center"/>
              <w:rPr>
                <w:b/>
                <w:color w:val="000000"/>
                <w:szCs w:val="21"/>
              </w:rPr>
            </w:pPr>
            <w:r>
              <w:rPr>
                <w:b/>
                <w:color w:val="000000"/>
                <w:szCs w:val="21"/>
              </w:rPr>
              <w:t>2021-N1OHSMS-1263375</w:t>
            </w:r>
          </w:p>
        </w:tc>
        <w:tc>
          <w:tcPr>
            <w:tcW w:w="1805" w:type="dxa"/>
            <w:vAlign w:val="center"/>
          </w:tcPr>
          <w:p>
            <w:pPr>
              <w:spacing w:line="240" w:lineRule="exact"/>
              <w:jc w:val="center"/>
              <w:rPr>
                <w:b/>
                <w:color w:val="000000"/>
                <w:szCs w:val="21"/>
              </w:rPr>
            </w:pPr>
            <w:r>
              <w:rPr>
                <w:b/>
                <w:color w:val="000000"/>
                <w:szCs w:val="21"/>
              </w:rPr>
              <w:t>E:17.10.01,17.10.02,17.12.05</w:t>
            </w:r>
          </w:p>
          <w:p>
            <w:pPr>
              <w:spacing w:line="240" w:lineRule="exact"/>
              <w:jc w:val="center"/>
              <w:rPr>
                <w:b/>
                <w:color w:val="000000"/>
                <w:szCs w:val="21"/>
              </w:rPr>
            </w:pPr>
            <w:r>
              <w:rPr>
                <w:b/>
                <w:color w:val="000000"/>
                <w:szCs w:val="21"/>
              </w:rPr>
              <w:t>O:17.10.01,17.10.02,17.12.05</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郭力</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205" w:type="dxa"/>
            <w:vAlign w:val="center"/>
          </w:tcPr>
          <w:p>
            <w:pPr>
              <w:spacing w:line="240" w:lineRule="exact"/>
              <w:jc w:val="center"/>
              <w:rPr>
                <w:b/>
                <w:color w:val="000000"/>
                <w:szCs w:val="21"/>
              </w:rPr>
            </w:pPr>
            <w:r>
              <w:rPr>
                <w:b/>
                <w:color w:val="000000"/>
                <w:szCs w:val="21"/>
              </w:rPr>
              <w:t>2020-N1EMS-1263290</w:t>
            </w:r>
          </w:p>
        </w:tc>
        <w:tc>
          <w:tcPr>
            <w:tcW w:w="1805" w:type="dxa"/>
            <w:vAlign w:val="center"/>
          </w:tcPr>
          <w:p>
            <w:pPr>
              <w:spacing w:line="240" w:lineRule="exact"/>
              <w:jc w:val="center"/>
              <w:rPr>
                <w:b/>
                <w:color w:val="000000"/>
                <w:szCs w:val="21"/>
              </w:rPr>
            </w:pPr>
            <w:r>
              <w:rPr>
                <w:b/>
                <w:color w:val="000000"/>
                <w:szCs w:val="21"/>
              </w:rPr>
              <w:t>E:17.10.01,17.10.02,17.12.05</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205" w:type="dxa"/>
            <w:vAlign w:val="center"/>
          </w:tcPr>
          <w:p>
            <w:pPr>
              <w:rPr>
                <w:b/>
                <w:color w:val="000000"/>
                <w:szCs w:val="21"/>
              </w:rPr>
            </w:pPr>
          </w:p>
        </w:tc>
        <w:tc>
          <w:tcPr>
            <w:tcW w:w="1805"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205" w:type="dxa"/>
            <w:vAlign w:val="center"/>
          </w:tcPr>
          <w:p>
            <w:pPr>
              <w:rPr>
                <w:b/>
                <w:color w:val="000000"/>
                <w:szCs w:val="21"/>
              </w:rPr>
            </w:pPr>
          </w:p>
        </w:tc>
        <w:tc>
          <w:tcPr>
            <w:tcW w:w="1805"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205" w:type="dxa"/>
            <w:vAlign w:val="center"/>
          </w:tcPr>
          <w:p>
            <w:pPr>
              <w:rPr>
                <w:b/>
                <w:color w:val="000000"/>
                <w:szCs w:val="21"/>
              </w:rPr>
            </w:pPr>
          </w:p>
        </w:tc>
        <w:tc>
          <w:tcPr>
            <w:tcW w:w="1805"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205" w:type="dxa"/>
            <w:vAlign w:val="center"/>
          </w:tcPr>
          <w:p>
            <w:pPr>
              <w:rPr>
                <w:b/>
                <w:color w:val="000000"/>
                <w:szCs w:val="21"/>
              </w:rPr>
            </w:pPr>
          </w:p>
        </w:tc>
        <w:tc>
          <w:tcPr>
            <w:tcW w:w="1805"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205" w:type="dxa"/>
            <w:vAlign w:val="center"/>
          </w:tcPr>
          <w:p>
            <w:pPr>
              <w:rPr>
                <w:b/>
                <w:color w:val="000000"/>
                <w:szCs w:val="21"/>
              </w:rPr>
            </w:pPr>
          </w:p>
        </w:tc>
        <w:tc>
          <w:tcPr>
            <w:tcW w:w="1805"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205" w:type="dxa"/>
            <w:vAlign w:val="center"/>
          </w:tcPr>
          <w:p>
            <w:pPr>
              <w:rPr>
                <w:b/>
                <w:color w:val="000000"/>
                <w:szCs w:val="21"/>
              </w:rPr>
            </w:pPr>
            <w:r>
              <w:rPr>
                <w:rFonts w:hint="eastAsia"/>
                <w:b/>
                <w:color w:val="000000"/>
                <w:szCs w:val="21"/>
              </w:rPr>
              <w:t>工作单位</w:t>
            </w:r>
          </w:p>
        </w:tc>
        <w:tc>
          <w:tcPr>
            <w:tcW w:w="2893"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205" w:type="dxa"/>
            <w:vAlign w:val="center"/>
          </w:tcPr>
          <w:p>
            <w:pPr>
              <w:rPr>
                <w:b/>
                <w:color w:val="000000"/>
                <w:szCs w:val="21"/>
              </w:rPr>
            </w:pPr>
          </w:p>
        </w:tc>
        <w:tc>
          <w:tcPr>
            <w:tcW w:w="2893"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205" w:type="dxa"/>
            <w:vAlign w:val="center"/>
          </w:tcPr>
          <w:p>
            <w:pPr>
              <w:rPr>
                <w:b/>
                <w:color w:val="000000"/>
                <w:szCs w:val="21"/>
                <w:highlight w:val="green"/>
              </w:rPr>
            </w:pPr>
          </w:p>
        </w:tc>
        <w:tc>
          <w:tcPr>
            <w:tcW w:w="2893"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运城鑫工科技有限公司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运城市盐湖工业园区涑水大道10号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044000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运城市盐湖工业园区涑水大道10号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044000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樊永博</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13653593556</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谢解生</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樊永博</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b/>
                <w:color w:val="000000"/>
                <w:szCs w:val="21"/>
              </w:rPr>
            </w:pPr>
            <w:r>
              <w:rPr>
                <w:rFonts w:hint="eastAsia" w:ascii="宋体" w:hAnsi="宋体"/>
                <w:b/>
                <w:color w:val="000000"/>
                <w:szCs w:val="21"/>
              </w:rPr>
              <w:t>产品：E：一般机械加工；电力铁附件（电力铁塔、钢管杆）的加工及销售所涉及场所的相关环境管理活动</w:t>
            </w:r>
          </w:p>
          <w:p>
            <w:pPr>
              <w:tabs>
                <w:tab w:val="left" w:pos="360"/>
              </w:tabs>
              <w:ind w:left="360" w:hanging="360"/>
              <w:rPr>
                <w:rFonts w:ascii="宋体" w:hAnsi="宋体"/>
                <w:b/>
                <w:color w:val="000000"/>
                <w:szCs w:val="21"/>
              </w:rPr>
            </w:pPr>
            <w:r>
              <w:rPr>
                <w:rFonts w:hint="eastAsia" w:ascii="宋体" w:hAnsi="宋体"/>
                <w:b/>
                <w:color w:val="000000"/>
                <w:szCs w:val="21"/>
              </w:rPr>
              <w:t>O：一般机械加工；电力铁附件（电力铁塔、钢管杆）的加工及销售所涉及场所的相关职业健康安全管理活动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eastAsia" w:ascii="宋体"/>
                <w:color w:val="000000"/>
                <w:szCs w:val="21"/>
              </w:rPr>
            </w:pPr>
            <w:r>
              <w:rPr>
                <w:rFonts w:hint="eastAsia" w:ascii="宋体"/>
                <w:color w:val="000000"/>
                <w:szCs w:val="21"/>
              </w:rPr>
              <w:t>一般机械加工：生产计划-生产准备（人员、设备（包括工装）、产品图、工艺图、量具、原材料（毛坯及供方提供的粗加工件）-机械加工（一次加工）-过程检验-表面处理（打磨）-精加工-检验-包装/入库/交付</w:t>
            </w:r>
          </w:p>
          <w:p>
            <w:pPr>
              <w:tabs>
                <w:tab w:val="left" w:pos="360"/>
              </w:tabs>
              <w:ind w:left="360" w:hanging="360"/>
              <w:rPr>
                <w:rFonts w:ascii="宋体"/>
                <w:color w:val="000000"/>
                <w:szCs w:val="21"/>
              </w:rPr>
            </w:pPr>
            <w:r>
              <w:rPr>
                <w:rFonts w:hint="eastAsia" w:ascii="宋体"/>
                <w:color w:val="000000"/>
                <w:szCs w:val="21"/>
              </w:rPr>
              <w:t>电力铁附件的加工：原材料-切割下料-冲床-折边-焊接-打磨-成品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一般机械加工；电力铁附件（电力铁塔、钢管杆）的加工及销售所涉及场所的相关环境管理活动</w:t>
            </w:r>
          </w:p>
        </w:tc>
        <w:tc>
          <w:tcPr>
            <w:tcW w:w="2006" w:type="dxa"/>
            <w:gridSpan w:val="3"/>
            <w:vAlign w:val="center"/>
          </w:tcPr>
          <w:p>
            <w:pPr>
              <w:spacing w:line="400" w:lineRule="exact"/>
              <w:rPr>
                <w:rFonts w:ascii="宋体" w:hAnsi="宋体"/>
                <w:b/>
                <w:color w:val="000000"/>
                <w:szCs w:val="21"/>
              </w:rPr>
            </w:pPr>
            <w:r>
              <w:rPr>
                <w:b/>
                <w:color w:val="000000"/>
                <w:szCs w:val="21"/>
              </w:rPr>
              <w:t>17.10.01,17.10.02,17.12.05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一般机械加工；电力铁附件（电力铁塔、钢管杆）的加工及销售所涉及场所的相关职业健康安全管理活动</w:t>
            </w:r>
          </w:p>
        </w:tc>
        <w:tc>
          <w:tcPr>
            <w:tcW w:w="2006" w:type="dxa"/>
            <w:gridSpan w:val="3"/>
            <w:vAlign w:val="center"/>
          </w:tcPr>
          <w:p>
            <w:pPr>
              <w:spacing w:line="400" w:lineRule="exact"/>
              <w:rPr>
                <w:rFonts w:ascii="宋体" w:hAnsi="宋体"/>
                <w:b/>
                <w:color w:val="000000"/>
                <w:szCs w:val="21"/>
              </w:rPr>
            </w:pPr>
            <w:r>
              <w:rPr>
                <w:b/>
                <w:color w:val="000000"/>
                <w:szCs w:val="21"/>
              </w:rPr>
              <w:t>17.10.01,17.10.02,17.12.05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708"/>
        <w:gridCol w:w="76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708"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764"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rFonts w:ascii="宋体"/>
                <w:b/>
                <w:color w:val="000000"/>
                <w:szCs w:val="21"/>
              </w:rPr>
              <w:t>运城鑫工科技有限公司</w:t>
            </w:r>
            <w:r>
              <w:rPr>
                <w:rFonts w:hint="eastAsia" w:ascii="宋体"/>
                <w:b/>
                <w:color w:val="000000"/>
                <w:szCs w:val="21"/>
                <w:lang w:val="en-US" w:eastAsia="zh-CN"/>
              </w:rPr>
              <w:t>/运城市盐湖工业园区涑水大道10号</w:t>
            </w:r>
          </w:p>
        </w:tc>
        <w:tc>
          <w:tcPr>
            <w:tcW w:w="2267" w:type="dxa"/>
          </w:tcPr>
          <w:p>
            <w:pPr>
              <w:spacing w:before="40" w:after="40"/>
              <w:rPr>
                <w:rFonts w:eastAsia="黑体"/>
                <w:szCs w:val="21"/>
                <w:lang w:val="de-DE" w:eastAsia="ja-JP"/>
              </w:rPr>
            </w:pPr>
            <w:r>
              <w:rPr>
                <w:rFonts w:hint="eastAsia" w:eastAsia="黑体"/>
                <w:szCs w:val="21"/>
                <w:lang w:val="de-DE" w:eastAsia="ja-JP"/>
              </w:rPr>
              <w:t>运城市盐湖工业园区涑水大道10号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28</w:t>
            </w:r>
          </w:p>
        </w:tc>
        <w:tc>
          <w:tcPr>
            <w:tcW w:w="2708" w:type="dxa"/>
            <w:vAlign w:val="center"/>
          </w:tcPr>
          <w:p>
            <w:pPr>
              <w:pStyle w:val="19"/>
              <w:rPr>
                <w:rFonts w:hint="eastAsia" w:eastAsia="黑体" w:cs="Arial"/>
                <w:sz w:val="21"/>
                <w:szCs w:val="21"/>
                <w:lang w:val="en-US" w:eastAsia="ja-JP"/>
              </w:rPr>
            </w:pPr>
            <w:r>
              <w:rPr>
                <w:rFonts w:hint="eastAsia" w:eastAsia="黑体" w:cs="Arial"/>
                <w:sz w:val="21"/>
                <w:szCs w:val="21"/>
                <w:lang w:val="en-US" w:eastAsia="ja-JP"/>
              </w:rPr>
              <w:t>E：一般机械加工；电力铁附件（电力铁塔、钢管杆）的加工及销售所涉及场所的相关环境管理活动</w:t>
            </w:r>
          </w:p>
          <w:p>
            <w:pPr>
              <w:pStyle w:val="19"/>
              <w:rPr>
                <w:rFonts w:eastAsia="黑体" w:cs="Arial"/>
                <w:sz w:val="21"/>
                <w:szCs w:val="21"/>
                <w:lang w:val="en-US" w:eastAsia="ja-JP"/>
              </w:rPr>
            </w:pPr>
            <w:r>
              <w:rPr>
                <w:rFonts w:hint="eastAsia" w:eastAsia="黑体" w:cs="Arial"/>
                <w:sz w:val="21"/>
                <w:szCs w:val="21"/>
                <w:lang w:val="en-US" w:eastAsia="ja-JP"/>
              </w:rPr>
              <w:t>O：一般机械加工；电力铁附件（电力铁塔、钢管杆）的加工及销售所涉及场所的相关职业健康安全管理活动</w:t>
            </w:r>
          </w:p>
        </w:tc>
        <w:tc>
          <w:tcPr>
            <w:tcW w:w="764" w:type="dxa"/>
            <w:vAlign w:val="center"/>
          </w:tcPr>
          <w:p>
            <w:pPr>
              <w:spacing w:before="40" w:after="40"/>
              <w:rPr>
                <w:rFonts w:hint="eastAsia" w:ascii="宋体" w:hAnsi="宋体"/>
                <w:b/>
                <w:color w:val="000000"/>
                <w:szCs w:val="21"/>
                <w:lang w:val="de-DE"/>
              </w:rPr>
            </w:pPr>
            <w:r>
              <w:rPr>
                <w:rFonts w:hint="eastAsia" w:ascii="宋体" w:hAnsi="宋体"/>
                <w:b/>
                <w:color w:val="000000"/>
                <w:szCs w:val="21"/>
                <w:lang w:val="de-DE"/>
              </w:rPr>
              <w:t>GB/T24001-2016</w:t>
            </w:r>
          </w:p>
          <w:p>
            <w:pPr>
              <w:spacing w:before="40" w:after="40"/>
              <w:rPr>
                <w:rFonts w:hint="eastAsia" w:ascii="宋体" w:hAnsi="宋体"/>
                <w:b/>
                <w:color w:val="000000"/>
                <w:szCs w:val="21"/>
                <w:lang w:val="de-DE" w:eastAsia="ja-JP"/>
              </w:rPr>
            </w:pPr>
            <w:r>
              <w:rPr>
                <w:rFonts w:hint="eastAsia" w:ascii="宋体" w:hAnsi="宋体"/>
                <w:b/>
                <w:color w:val="000000"/>
                <w:szCs w:val="21"/>
                <w:lang w:val="de-DE"/>
              </w:rPr>
              <w:t>ISO45001：2018</w:t>
            </w:r>
          </w:p>
        </w:tc>
        <w:tc>
          <w:tcPr>
            <w:tcW w:w="668" w:type="dxa"/>
            <w:shd w:val="clear" w:color="auto" w:fill="FFFFFF"/>
          </w:tcPr>
          <w:p>
            <w:pPr>
              <w:rPr>
                <w:rFonts w:eastAsia="黑体"/>
                <w:szCs w:val="21"/>
              </w:rPr>
            </w:pPr>
            <w:r>
              <w:rPr>
                <w:rFonts w:ascii="Wingdings" w:hAnsi="Wingdings"/>
                <w:color w:val="000000"/>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708" w:type="dxa"/>
            <w:vAlign w:val="center"/>
          </w:tcPr>
          <w:p>
            <w:pPr>
              <w:spacing w:before="40" w:after="40"/>
              <w:rPr>
                <w:rFonts w:eastAsia="黑体"/>
                <w:szCs w:val="21"/>
                <w:lang w:eastAsia="ja-JP"/>
              </w:rPr>
            </w:pPr>
          </w:p>
        </w:tc>
        <w:tc>
          <w:tcPr>
            <w:tcW w:w="764"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708" w:type="dxa"/>
            <w:vAlign w:val="center"/>
          </w:tcPr>
          <w:p>
            <w:pPr>
              <w:spacing w:before="40" w:after="40"/>
              <w:rPr>
                <w:rFonts w:eastAsia="黑体"/>
                <w:szCs w:val="21"/>
                <w:lang w:eastAsia="ja-JP"/>
              </w:rPr>
            </w:pPr>
          </w:p>
        </w:tc>
        <w:tc>
          <w:tcPr>
            <w:tcW w:w="764"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708" w:type="dxa"/>
            <w:vAlign w:val="center"/>
          </w:tcPr>
          <w:p>
            <w:pPr>
              <w:spacing w:before="40" w:after="40"/>
              <w:rPr>
                <w:rFonts w:eastAsia="黑体"/>
                <w:szCs w:val="21"/>
                <w:lang w:eastAsia="ja-JP"/>
              </w:rPr>
            </w:pPr>
          </w:p>
        </w:tc>
        <w:tc>
          <w:tcPr>
            <w:tcW w:w="764"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708" w:type="dxa"/>
            <w:vAlign w:val="center"/>
          </w:tcPr>
          <w:p>
            <w:pPr>
              <w:spacing w:before="40" w:after="40"/>
              <w:rPr>
                <w:rFonts w:eastAsia="黑体"/>
                <w:szCs w:val="21"/>
                <w:lang w:eastAsia="ja-JP"/>
              </w:rPr>
            </w:pPr>
          </w:p>
        </w:tc>
        <w:tc>
          <w:tcPr>
            <w:tcW w:w="764"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5-6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年6月20日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A3"/>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02"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5" w:name="二阶段审核日期"/>
            <w:r>
              <w:rPr>
                <w:rFonts w:hint="eastAsia" w:ascii="宋体"/>
                <w:b/>
                <w:color w:val="000000"/>
                <w:szCs w:val="21"/>
              </w:rPr>
              <w:t>2021-09-2</w:t>
            </w:r>
            <w:bookmarkEnd w:id="35"/>
            <w:r>
              <w:rPr>
                <w:rFonts w:hint="eastAsia" w:ascii="宋体"/>
                <w:b/>
                <w:color w:val="000000"/>
                <w:szCs w:val="21"/>
                <w:lang w:val="en-US" w:eastAsia="zh-CN"/>
              </w:rPr>
              <w:t>5</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rPr>
          <w:rFonts w:ascii="宋体" w:hAnsi="宋体"/>
          <w:b/>
          <w:color w:val="000000"/>
          <w:szCs w:val="21"/>
          <w:highlight w:val="cyan"/>
        </w:rPr>
      </w:pPr>
      <w:r>
        <w:rPr>
          <w:rFonts w:ascii="宋体" w:hAnsi="宋体"/>
          <w:b/>
          <w:color w:val="000000"/>
          <w:szCs w:val="21"/>
          <w:highlight w:val="cyan"/>
        </w:rPr>
        <w:br w:type="page"/>
      </w:r>
    </w:p>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eastAsia="宋体"/>
          <w:szCs w:val="21"/>
          <w:lang w:eastAsia="zh-CN"/>
        </w:rPr>
        <w:drawing>
          <wp:anchor distT="0" distB="0" distL="114300" distR="114300" simplePos="0" relativeHeight="251663360" behindDoc="0" locked="0" layoutInCell="1" allowOverlap="1">
            <wp:simplePos x="0" y="0"/>
            <wp:positionH relativeFrom="column">
              <wp:posOffset>4252595</wp:posOffset>
            </wp:positionH>
            <wp:positionV relativeFrom="paragraph">
              <wp:posOffset>236220</wp:posOffset>
            </wp:positionV>
            <wp:extent cx="615950" cy="511175"/>
            <wp:effectExtent l="0" t="0" r="0" b="0"/>
            <wp:wrapNone/>
            <wp:docPr id="70" name="图片 70" descr="9cedbe462a1cfbc9f2662c014817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9cedbe462a1cfbc9f2662c014817f02"/>
                    <pic:cNvPicPr>
                      <a:picLocks noChangeAspect="1"/>
                    </pic:cNvPicPr>
                  </pic:nvPicPr>
                  <pic:blipFill>
                    <a:blip r:embed="rId6"/>
                    <a:stretch>
                      <a:fillRect/>
                    </a:stretch>
                  </pic:blipFill>
                  <pic:spPr>
                    <a:xfrm>
                      <a:off x="0" y="0"/>
                      <a:ext cx="615950" cy="511175"/>
                    </a:xfrm>
                    <a:prstGeom prst="rect">
                      <a:avLst/>
                    </a:prstGeom>
                  </pic:spPr>
                </pic:pic>
              </a:graphicData>
            </a:graphic>
          </wp:anchor>
        </w:drawing>
      </w:r>
      <w:r>
        <w:rPr>
          <w:rFonts w:hint="eastAsia" w:ascii="宋体" w:hAnsi="宋体" w:eastAsia="宋体" w:cs="Times New Roman"/>
          <w:szCs w:val="21"/>
          <w:lang w:eastAsia="zh-CN"/>
        </w:rPr>
        <w:drawing>
          <wp:anchor distT="0" distB="0" distL="114300" distR="114300" simplePos="0" relativeHeight="251662336" behindDoc="0" locked="0" layoutInCell="1" allowOverlap="1">
            <wp:simplePos x="0" y="0"/>
            <wp:positionH relativeFrom="column">
              <wp:posOffset>5341620</wp:posOffset>
            </wp:positionH>
            <wp:positionV relativeFrom="paragraph">
              <wp:posOffset>123825</wp:posOffset>
            </wp:positionV>
            <wp:extent cx="375285" cy="792480"/>
            <wp:effectExtent l="0" t="0" r="7620" b="5715"/>
            <wp:wrapNone/>
            <wp:docPr id="10"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a70a62583c0d9032e3c5101938293d0"/>
                    <pic:cNvPicPr>
                      <a:picLocks noChangeAspect="1"/>
                    </pic:cNvPicPr>
                  </pic:nvPicPr>
                  <pic:blipFill>
                    <a:blip r:embed="rId7"/>
                    <a:stretch>
                      <a:fillRect/>
                    </a:stretch>
                  </pic:blipFill>
                  <pic:spPr>
                    <a:xfrm rot="16200000">
                      <a:off x="0" y="0"/>
                      <a:ext cx="375285" cy="792480"/>
                    </a:xfrm>
                    <a:prstGeom prst="rect">
                      <a:avLst/>
                    </a:prstGeom>
                  </pic:spPr>
                </pic:pic>
              </a:graphicData>
            </a:graphic>
          </wp:anchor>
        </w:drawing>
      </w:r>
      <w:r>
        <w:rPr>
          <w:rFonts w:hint="eastAsia"/>
          <w:vertAlign w:val="baseline"/>
          <w:lang w:val="en-US" w:eastAsia="zh-CN"/>
        </w:rPr>
        <w:drawing>
          <wp:anchor distT="0" distB="0" distL="114300" distR="114300" simplePos="0" relativeHeight="251659264" behindDoc="0" locked="0" layoutInCell="1" allowOverlap="1">
            <wp:simplePos x="0" y="0"/>
            <wp:positionH relativeFrom="column">
              <wp:posOffset>1875790</wp:posOffset>
            </wp:positionH>
            <wp:positionV relativeFrom="paragraph">
              <wp:posOffset>296545</wp:posOffset>
            </wp:positionV>
            <wp:extent cx="440690" cy="338455"/>
            <wp:effectExtent l="0" t="0" r="3810" b="4445"/>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8"/>
                    <a:stretch>
                      <a:fillRect/>
                    </a:stretch>
                  </pic:blipFill>
                  <pic:spPr>
                    <a:xfrm>
                      <a:off x="0" y="0"/>
                      <a:ext cx="440690" cy="33845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hAns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spacing w:line="400" w:lineRule="exact"/>
        <w:ind w:firstLine="843" w:firstLineChars="400"/>
        <w:rPr>
          <w:rFonts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2021.9.</w:t>
      </w:r>
      <w:bookmarkStart w:id="36" w:name="_GoBack"/>
      <w:bookmarkEnd w:id="36"/>
      <w:r>
        <w:rPr>
          <w:rFonts w:hint="eastAsia" w:ascii="宋体" w:hAnsi="宋体"/>
          <w:b/>
          <w:color w:val="000000"/>
          <w:szCs w:val="21"/>
          <w:lang w:val="en-US" w:eastAsia="zh-CN"/>
        </w:rPr>
        <w:t>4</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4097" o:spid="_x0000_s4097" o:spt="202" type="#_x0000_t202" style="position:absolute;left:0pt;margin-left:402.4pt;margin-top:11.35pt;height:20.2pt;width:81.3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659638F"/>
    <w:rsid w:val="0FEC7A29"/>
    <w:rsid w:val="19C564DE"/>
    <w:rsid w:val="2650714E"/>
    <w:rsid w:val="27EF35BD"/>
    <w:rsid w:val="287A224E"/>
    <w:rsid w:val="2C925C88"/>
    <w:rsid w:val="30656A52"/>
    <w:rsid w:val="41FB0782"/>
    <w:rsid w:val="475C25AE"/>
    <w:rsid w:val="54800CC8"/>
    <w:rsid w:val="55600AE8"/>
    <w:rsid w:val="56EC5EA8"/>
    <w:rsid w:val="775B6944"/>
    <w:rsid w:val="7B697B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1</TotalTime>
  <ScaleCrop>false</ScaleCrop>
  <LinksUpToDate>false</LinksUpToDate>
  <CharactersWithSpaces>9455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LIL</cp:lastModifiedBy>
  <dcterms:modified xsi:type="dcterms:W3CDTF">2021-09-27T15:37:23Z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2052-11.1.0.10938</vt:lpwstr>
  </property>
</Properties>
</file>