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exact"/>
        <w:jc w:val="center"/>
        <w:rPr>
          <w:rFonts w:ascii="隶书" w:hAnsi="宋体" w:eastAsia="隶书"/>
          <w:bCs/>
          <w:color w:val="000000"/>
          <w:sz w:val="36"/>
          <w:szCs w:val="36"/>
        </w:rPr>
      </w:pPr>
      <w:r>
        <w:rPr>
          <w:rFonts w:hint="eastAsia" w:ascii="隶书" w:hAnsi="宋体" w:eastAsia="隶书"/>
          <w:bCs/>
          <w:color w:val="000000"/>
          <w:sz w:val="36"/>
          <w:szCs w:val="36"/>
        </w:rPr>
        <w:t>管理体系审核记录表</w:t>
      </w:r>
    </w:p>
    <w:tbl>
      <w:tblPr>
        <w:tblStyle w:val="8"/>
        <w:tblW w:w="14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960"/>
        <w:gridCol w:w="10004"/>
        <w:gridCol w:w="15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2160" w:type="dxa"/>
            <w:vMerge w:val="restart"/>
            <w:vAlign w:val="center"/>
          </w:tcPr>
          <w:p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过程与活动、</w:t>
            </w:r>
          </w:p>
          <w:p>
            <w:pPr>
              <w:jc w:val="center"/>
            </w:pPr>
            <w:r>
              <w:rPr>
                <w:rFonts w:hint="eastAsia"/>
                <w:sz w:val="24"/>
                <w:szCs w:val="24"/>
              </w:rPr>
              <w:t>抽样计划</w:t>
            </w:r>
          </w:p>
        </w:tc>
        <w:tc>
          <w:tcPr>
            <w:tcW w:w="960" w:type="dxa"/>
            <w:vMerge w:val="restart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涉及</w:t>
            </w:r>
          </w:p>
          <w:p>
            <w:r>
              <w:rPr>
                <w:rFonts w:hint="eastAsia"/>
                <w:sz w:val="24"/>
                <w:szCs w:val="24"/>
              </w:rPr>
              <w:t>条款</w:t>
            </w:r>
          </w:p>
        </w:tc>
        <w:tc>
          <w:tcPr>
            <w:tcW w:w="10004" w:type="dxa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受审核部门：运营部 </w:t>
            </w:r>
            <w:r>
              <w:rPr>
                <w:rFonts w:ascii="宋体" w:hAnsi="宋体"/>
                <w:b/>
                <w:bCs/>
                <w:szCs w:val="21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主管领导：</w:t>
            </w:r>
            <w:r>
              <w:rPr>
                <w:rFonts w:hint="eastAsia" w:ascii="宋体" w:hAnsi="宋体" w:cs="Arial"/>
                <w:szCs w:val="21"/>
              </w:rPr>
              <w:t>田泽良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陪同人员：王益枫</w:t>
            </w:r>
          </w:p>
        </w:tc>
        <w:tc>
          <w:tcPr>
            <w:tcW w:w="1585" w:type="dxa"/>
            <w:vMerge w:val="restart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2160" w:type="dxa"/>
            <w:vMerge w:val="continue"/>
            <w:vAlign w:val="center"/>
          </w:tcPr>
          <w:p/>
        </w:tc>
        <w:tc>
          <w:tcPr>
            <w:tcW w:w="960" w:type="dxa"/>
            <w:vMerge w:val="continue"/>
            <w:vAlign w:val="center"/>
          </w:tcPr>
          <w:p/>
        </w:tc>
        <w:tc>
          <w:tcPr>
            <w:tcW w:w="10004" w:type="dxa"/>
            <w:vAlign w:val="center"/>
          </w:tcPr>
          <w:p>
            <w:pPr>
              <w:spacing w:before="120"/>
            </w:pPr>
            <w:r>
              <w:rPr>
                <w:rFonts w:hint="eastAsia"/>
                <w:sz w:val="24"/>
                <w:szCs w:val="24"/>
              </w:rPr>
              <w:t>审核员：</w:t>
            </w:r>
            <w:r>
              <w:rPr>
                <w:rFonts w:hint="eastAsia"/>
                <w:sz w:val="24"/>
                <w:szCs w:val="24"/>
                <w:lang w:val="de-DE"/>
              </w:rPr>
              <w:t>张磊</w:t>
            </w:r>
            <w:r>
              <w:rPr>
                <w:rFonts w:hint="eastAsia"/>
                <w:sz w:val="24"/>
                <w:szCs w:val="24"/>
                <w:lang w:val="de-DE" w:eastAsia="zh-CN"/>
              </w:rPr>
              <w:t>、王建红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   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审核时间：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2021.9.26</w:t>
            </w:r>
          </w:p>
        </w:tc>
        <w:tc>
          <w:tcPr>
            <w:tcW w:w="1585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60" w:type="dxa"/>
            <w:vMerge w:val="continue"/>
            <w:vAlign w:val="center"/>
          </w:tcPr>
          <w:p/>
        </w:tc>
        <w:tc>
          <w:tcPr>
            <w:tcW w:w="960" w:type="dxa"/>
            <w:vMerge w:val="continue"/>
            <w:vAlign w:val="center"/>
          </w:tcPr>
          <w:p/>
        </w:tc>
        <w:tc>
          <w:tcPr>
            <w:tcW w:w="10004" w:type="dxa"/>
            <w:vAlign w:val="center"/>
          </w:tcPr>
          <w:p>
            <w:pPr>
              <w:adjustRightInd w:val="0"/>
              <w:snapToGrid w:val="0"/>
              <w:spacing w:line="320" w:lineRule="exact"/>
              <w:ind w:right="105" w:rightChars="50"/>
              <w:textAlignment w:val="baseline"/>
              <w:rPr>
                <w:rFonts w:ascii="宋体" w:hAnsi="宋体" w:cs="Arial"/>
                <w:szCs w:val="21"/>
              </w:rPr>
            </w:pPr>
            <w:r>
              <w:rPr>
                <w:rFonts w:hint="eastAsia"/>
                <w:sz w:val="24"/>
                <w:szCs w:val="24"/>
              </w:rPr>
              <w:t>审核条款：</w:t>
            </w:r>
            <w:r>
              <w:rPr>
                <w:rFonts w:hint="eastAsia" w:ascii="宋体" w:hAnsi="宋体" w:cs="Arial"/>
                <w:szCs w:val="21"/>
              </w:rPr>
              <w:t>QEO:5.3组织的岗位、职责和权限、6.2质量目标</w:t>
            </w:r>
          </w:p>
          <w:p>
            <w:pPr>
              <w:adjustRightInd w:val="0"/>
              <w:snapToGrid w:val="0"/>
              <w:spacing w:line="320" w:lineRule="exact"/>
              <w:ind w:right="105" w:rightChars="50"/>
              <w:textAlignment w:val="baseline"/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Q:7.1.3基础设施、7.1.4过程运行环境、7.1.5监视和测量资源、8.1运行策划和控制、8.4外部提供过程、8.5.1生产和服务提供的控制、8.5.2产品标识和可追朔性、8.5.3顾客或外部供方的财产、8.5.4产品防护、8</w:t>
            </w:r>
            <w:r>
              <w:rPr>
                <w:rFonts w:ascii="宋体" w:hAnsi="宋体" w:cs="Arial"/>
                <w:szCs w:val="21"/>
              </w:rPr>
              <w:t>.6</w:t>
            </w:r>
            <w:r>
              <w:rPr>
                <w:rFonts w:hint="eastAsia" w:ascii="宋体" w:hAnsi="宋体" w:cs="Arial"/>
                <w:szCs w:val="21"/>
              </w:rPr>
              <w:t>放行、8</w:t>
            </w:r>
            <w:r>
              <w:rPr>
                <w:rFonts w:ascii="宋体" w:hAnsi="宋体" w:cs="Arial"/>
                <w:szCs w:val="21"/>
              </w:rPr>
              <w:t>.7</w:t>
            </w:r>
            <w:r>
              <w:rPr>
                <w:rFonts w:hint="eastAsia" w:ascii="宋体" w:hAnsi="宋体" w:cs="Arial"/>
                <w:szCs w:val="21"/>
              </w:rPr>
              <w:t>不符合输出</w:t>
            </w:r>
          </w:p>
          <w:p>
            <w:pPr>
              <w:rPr>
                <w:sz w:val="24"/>
                <w:szCs w:val="24"/>
              </w:rPr>
            </w:pPr>
            <w:r>
              <w:rPr>
                <w:rFonts w:hint="eastAsia" w:ascii="宋体" w:hAnsi="宋体" w:cs="Arial"/>
                <w:szCs w:val="21"/>
              </w:rPr>
              <w:t>EO: 5.3组织的岗位、职责和权限、6.2环境目标、6.1.2环境因素辨识与评价、8.1运行策划和控制、8.2应急准备和响应，</w:t>
            </w:r>
          </w:p>
        </w:tc>
        <w:tc>
          <w:tcPr>
            <w:tcW w:w="1585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</w:tcPr>
          <w:p>
            <w:r>
              <w:rPr>
                <w:rFonts w:hint="eastAsia" w:ascii="宋体" w:hAnsi="宋体" w:cs="Arial"/>
                <w:szCs w:val="21"/>
              </w:rPr>
              <w:t>组织的岗位、职责和权限</w:t>
            </w:r>
          </w:p>
        </w:tc>
        <w:tc>
          <w:tcPr>
            <w:tcW w:w="960" w:type="dxa"/>
          </w:tcPr>
          <w:p>
            <w:pPr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QMS:5.3</w:t>
            </w:r>
          </w:p>
          <w:p>
            <w:r>
              <w:rPr>
                <w:rFonts w:ascii="宋体" w:hAnsi="宋体" w:cs="Arial"/>
                <w:szCs w:val="21"/>
              </w:rPr>
              <w:t>EO:5.3</w:t>
            </w:r>
            <w:r>
              <w:t xml:space="preserve"> </w:t>
            </w:r>
          </w:p>
        </w:tc>
        <w:tc>
          <w:tcPr>
            <w:tcW w:w="10004" w:type="dxa"/>
          </w:tcPr>
          <w:p>
            <w:pPr>
              <w:spacing w:line="280" w:lineRule="exact"/>
              <w:ind w:firstLine="420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本部门主要负责采购、供应商管理及相关环境、职业健康安全管理活动的实施与执行.</w:t>
            </w:r>
          </w:p>
          <w:p>
            <w:pPr>
              <w:spacing w:line="280" w:lineRule="exact"/>
              <w:ind w:firstLine="420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与运营部负责人沟通，描述的职责和权限与一体化管理体系的职能分配表基本一致。</w:t>
            </w:r>
          </w:p>
          <w:p>
            <w:pPr>
              <w:spacing w:line="280" w:lineRule="exact"/>
              <w:ind w:firstLine="420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有办公桌、电脑、空调等能满足部门体系运行需求。</w:t>
            </w:r>
          </w:p>
          <w:p>
            <w:pPr>
              <w:spacing w:line="280" w:lineRule="exact"/>
              <w:ind w:firstLine="420"/>
              <w:rPr>
                <w:b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采购后物资堆放场所等基本符合要求。</w:t>
            </w:r>
          </w:p>
        </w:tc>
        <w:tc>
          <w:tcPr>
            <w:tcW w:w="1585" w:type="dxa"/>
          </w:tcPr>
          <w:p>
            <w:r>
              <w:rPr>
                <w:rFonts w:hint="eastAsia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8" w:hRule="atLeast"/>
        </w:trPr>
        <w:tc>
          <w:tcPr>
            <w:tcW w:w="2160" w:type="dxa"/>
          </w:tcPr>
          <w:p>
            <w:r>
              <w:rPr>
                <w:rFonts w:hint="eastAsia" w:ascii="宋体" w:hAnsi="宋体" w:cs="Arial"/>
                <w:szCs w:val="21"/>
              </w:rPr>
              <w:t>质量环境和职业健康安全目标</w:t>
            </w:r>
          </w:p>
        </w:tc>
        <w:tc>
          <w:tcPr>
            <w:tcW w:w="960" w:type="dxa"/>
          </w:tcPr>
          <w:p>
            <w:r>
              <w:rPr>
                <w:rFonts w:hint="eastAsia" w:ascii="宋体" w:hAnsi="宋体" w:cs="Arial"/>
                <w:szCs w:val="21"/>
              </w:rPr>
              <w:t>QMS:</w:t>
            </w:r>
            <w:r>
              <w:rPr>
                <w:rFonts w:hint="eastAsia"/>
              </w:rPr>
              <w:t>6</w:t>
            </w:r>
            <w:r>
              <w:t>.2</w:t>
            </w:r>
          </w:p>
          <w:p>
            <w:r>
              <w:rPr>
                <w:rFonts w:ascii="宋体" w:hAnsi="宋体" w:cs="Arial"/>
                <w:szCs w:val="21"/>
              </w:rPr>
              <w:t>EO:6.2</w:t>
            </w:r>
          </w:p>
        </w:tc>
        <w:tc>
          <w:tcPr>
            <w:tcW w:w="10004" w:type="dxa"/>
          </w:tcPr>
          <w:p>
            <w:pPr>
              <w:spacing w:line="280" w:lineRule="exact"/>
              <w:ind w:firstLine="420" w:firstLineChars="200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 xml:space="preserve">管理目标有：                            </w:t>
            </w:r>
          </w:p>
          <w:tbl>
            <w:tblPr>
              <w:tblStyle w:val="9"/>
              <w:tblW w:w="9788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631"/>
              <w:gridCol w:w="2360"/>
              <w:gridCol w:w="992"/>
              <w:gridCol w:w="1843"/>
              <w:gridCol w:w="1330"/>
              <w:gridCol w:w="1632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631" w:type="dxa"/>
                  <w:vMerge w:val="restart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ascii="宋体" w:hAnsi="宋体"/>
                      <w:sz w:val="18"/>
                      <w:szCs w:val="18"/>
                    </w:rPr>
                  </w:pPr>
                </w:p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ascii="宋体" w:hAnsi="宋体"/>
                      <w:sz w:val="18"/>
                      <w:szCs w:val="18"/>
                    </w:rPr>
                  </w:pPr>
                </w:p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ascii="宋体" w:hAnsi="宋体"/>
                      <w:sz w:val="18"/>
                      <w:szCs w:val="18"/>
                    </w:rPr>
                  </w:pPr>
                </w:p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ascii="宋体" w:hAnsi="宋体"/>
                      <w:sz w:val="18"/>
                      <w:szCs w:val="18"/>
                    </w:rPr>
                  </w:pPr>
                </w:p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ascii="宋体" w:hAnsi="宋体"/>
                      <w:sz w:val="18"/>
                      <w:szCs w:val="18"/>
                    </w:rPr>
                  </w:pPr>
                </w:p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运营部目标</w:t>
                  </w:r>
                </w:p>
              </w:tc>
              <w:tc>
                <w:tcPr>
                  <w:tcW w:w="2360" w:type="dxa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目标</w:t>
                  </w:r>
                </w:p>
              </w:tc>
              <w:tc>
                <w:tcPr>
                  <w:tcW w:w="992" w:type="dxa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指标</w:t>
                  </w:r>
                </w:p>
              </w:tc>
              <w:tc>
                <w:tcPr>
                  <w:tcW w:w="1843" w:type="dxa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考核方式</w:t>
                  </w:r>
                </w:p>
              </w:tc>
              <w:tc>
                <w:tcPr>
                  <w:tcW w:w="1330" w:type="dxa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考核情况</w:t>
                  </w:r>
                </w:p>
              </w:tc>
              <w:tc>
                <w:tcPr>
                  <w:tcW w:w="1632" w:type="dxa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结论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631" w:type="dxa"/>
                  <w:vMerge w:val="continue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ascii="宋体" w:hAnsi="宋体"/>
                      <w:sz w:val="18"/>
                      <w:szCs w:val="18"/>
                    </w:rPr>
                  </w:pPr>
                </w:p>
              </w:tc>
              <w:tc>
                <w:tcPr>
                  <w:tcW w:w="2360" w:type="dxa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可再生资源回收服务按规执行率</w:t>
                  </w:r>
                </w:p>
              </w:tc>
              <w:tc>
                <w:tcPr>
                  <w:tcW w:w="992" w:type="dxa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100％</w:t>
                  </w:r>
                </w:p>
              </w:tc>
              <w:tc>
                <w:tcPr>
                  <w:tcW w:w="1843" w:type="dxa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服务规范执行检查情况</w:t>
                  </w:r>
                </w:p>
              </w:tc>
              <w:tc>
                <w:tcPr>
                  <w:tcW w:w="1330" w:type="dxa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100%</w:t>
                  </w:r>
                </w:p>
              </w:tc>
              <w:tc>
                <w:tcPr>
                  <w:tcW w:w="1632" w:type="dxa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符合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631" w:type="dxa"/>
                  <w:vMerge w:val="continue"/>
                </w:tcPr>
                <w:p>
                  <w:pPr>
                    <w:spacing w:line="280" w:lineRule="exact"/>
                    <w:rPr>
                      <w:color w:val="000000"/>
                      <w:szCs w:val="21"/>
                    </w:rPr>
                  </w:pPr>
                </w:p>
              </w:tc>
              <w:tc>
                <w:tcPr>
                  <w:tcW w:w="2360" w:type="dxa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cs="宋体"/>
                      <w:sz w:val="18"/>
                      <w:szCs w:val="18"/>
                    </w:rPr>
                    <w:t>可再生资源回收服务</w:t>
                  </w:r>
                  <w:r>
                    <w:rPr>
                      <w:rFonts w:ascii="宋体" w:hAnsi="宋体" w:cs="宋体"/>
                      <w:sz w:val="18"/>
                      <w:szCs w:val="18"/>
                    </w:rPr>
                    <w:t>检查合格率</w:t>
                  </w:r>
                </w:p>
              </w:tc>
              <w:tc>
                <w:tcPr>
                  <w:tcW w:w="992" w:type="dxa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ascii="宋体" w:hAnsi="宋体"/>
                      <w:sz w:val="18"/>
                      <w:szCs w:val="18"/>
                    </w:rPr>
                  </w:pPr>
                  <w:r>
                    <w:rPr>
                      <w:rFonts w:ascii="宋体" w:hAnsi="宋体" w:cs="宋体"/>
                      <w:sz w:val="18"/>
                      <w:szCs w:val="18"/>
                    </w:rPr>
                    <w:t>≥100%</w:t>
                  </w:r>
                </w:p>
              </w:tc>
              <w:tc>
                <w:tcPr>
                  <w:tcW w:w="1843" w:type="dxa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检查结果统计</w:t>
                  </w:r>
                </w:p>
              </w:tc>
              <w:tc>
                <w:tcPr>
                  <w:tcW w:w="1330" w:type="dxa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100%</w:t>
                  </w:r>
                </w:p>
              </w:tc>
              <w:tc>
                <w:tcPr>
                  <w:tcW w:w="1632" w:type="dxa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符合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631" w:type="dxa"/>
                  <w:vMerge w:val="continue"/>
                </w:tcPr>
                <w:p>
                  <w:pPr>
                    <w:spacing w:line="280" w:lineRule="exact"/>
                    <w:rPr>
                      <w:color w:val="000000"/>
                      <w:szCs w:val="21"/>
                    </w:rPr>
                  </w:pPr>
                </w:p>
              </w:tc>
              <w:tc>
                <w:tcPr>
                  <w:tcW w:w="2360" w:type="dxa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合格供方评价按时完成率</w:t>
                  </w:r>
                </w:p>
              </w:tc>
              <w:tc>
                <w:tcPr>
                  <w:tcW w:w="992" w:type="dxa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100％</w:t>
                  </w:r>
                </w:p>
              </w:tc>
              <w:tc>
                <w:tcPr>
                  <w:tcW w:w="1843" w:type="dxa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评价情况分析</w:t>
                  </w:r>
                </w:p>
              </w:tc>
              <w:tc>
                <w:tcPr>
                  <w:tcW w:w="1330" w:type="dxa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100%</w:t>
                  </w:r>
                </w:p>
              </w:tc>
              <w:tc>
                <w:tcPr>
                  <w:tcW w:w="1632" w:type="dxa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符合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631" w:type="dxa"/>
                  <w:vMerge w:val="continue"/>
                </w:tcPr>
                <w:p>
                  <w:pPr>
                    <w:spacing w:line="280" w:lineRule="exact"/>
                    <w:rPr>
                      <w:color w:val="000000"/>
                      <w:szCs w:val="21"/>
                    </w:rPr>
                  </w:pPr>
                </w:p>
              </w:tc>
              <w:tc>
                <w:tcPr>
                  <w:tcW w:w="2360" w:type="dxa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固体废弃物按规分类存放、处置率</w:t>
                  </w:r>
                </w:p>
              </w:tc>
              <w:tc>
                <w:tcPr>
                  <w:tcW w:w="992" w:type="dxa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100%</w:t>
                  </w:r>
                </w:p>
              </w:tc>
              <w:tc>
                <w:tcPr>
                  <w:tcW w:w="1843" w:type="dxa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检查数据统计</w:t>
                  </w:r>
                </w:p>
              </w:tc>
              <w:tc>
                <w:tcPr>
                  <w:tcW w:w="1330" w:type="dxa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100%</w:t>
                  </w:r>
                </w:p>
              </w:tc>
              <w:tc>
                <w:tcPr>
                  <w:tcW w:w="1632" w:type="dxa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符合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631" w:type="dxa"/>
                  <w:vMerge w:val="continue"/>
                </w:tcPr>
                <w:p>
                  <w:pPr>
                    <w:spacing w:line="280" w:lineRule="exact"/>
                    <w:rPr>
                      <w:color w:val="000000"/>
                      <w:szCs w:val="21"/>
                    </w:rPr>
                  </w:pPr>
                </w:p>
              </w:tc>
              <w:tc>
                <w:tcPr>
                  <w:tcW w:w="2360" w:type="dxa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触电、交通、火灾事件</w:t>
                  </w:r>
                </w:p>
              </w:tc>
              <w:tc>
                <w:tcPr>
                  <w:tcW w:w="992" w:type="dxa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零发生</w:t>
                  </w:r>
                </w:p>
              </w:tc>
              <w:tc>
                <w:tcPr>
                  <w:tcW w:w="1843" w:type="dxa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实际事件发生情况</w:t>
                  </w:r>
                </w:p>
              </w:tc>
              <w:tc>
                <w:tcPr>
                  <w:tcW w:w="1330" w:type="dxa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1632" w:type="dxa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符合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631" w:type="dxa"/>
                  <w:vMerge w:val="continue"/>
                </w:tcPr>
                <w:p>
                  <w:pPr>
                    <w:spacing w:line="280" w:lineRule="exact"/>
                    <w:rPr>
                      <w:color w:val="000000"/>
                      <w:szCs w:val="21"/>
                    </w:rPr>
                  </w:pPr>
                </w:p>
              </w:tc>
              <w:tc>
                <w:tcPr>
                  <w:tcW w:w="2360" w:type="dxa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轻伤事件</w:t>
                  </w:r>
                </w:p>
              </w:tc>
              <w:tc>
                <w:tcPr>
                  <w:tcW w:w="992" w:type="dxa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≤2‰</w:t>
                  </w:r>
                </w:p>
              </w:tc>
              <w:tc>
                <w:tcPr>
                  <w:tcW w:w="1843" w:type="dxa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实际事件发生情况</w:t>
                  </w:r>
                </w:p>
              </w:tc>
              <w:tc>
                <w:tcPr>
                  <w:tcW w:w="1330" w:type="dxa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1632" w:type="dxa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符合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631" w:type="dxa"/>
                  <w:vMerge w:val="continue"/>
                </w:tcPr>
                <w:p>
                  <w:pPr>
                    <w:spacing w:line="280" w:lineRule="exact"/>
                    <w:rPr>
                      <w:color w:val="000000"/>
                      <w:szCs w:val="21"/>
                    </w:rPr>
                  </w:pPr>
                </w:p>
              </w:tc>
              <w:tc>
                <w:tcPr>
                  <w:tcW w:w="2360" w:type="dxa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环境、职业健康安全运行检查合格率</w:t>
                  </w:r>
                </w:p>
              </w:tc>
              <w:tc>
                <w:tcPr>
                  <w:tcW w:w="992" w:type="dxa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≥</w:t>
                  </w:r>
                  <w:r>
                    <w:rPr>
                      <w:rFonts w:ascii="宋体" w:hAnsi="宋体"/>
                      <w:sz w:val="18"/>
                      <w:szCs w:val="18"/>
                    </w:rPr>
                    <w:t>100</w:t>
                  </w:r>
                  <w:r>
                    <w:rPr>
                      <w:rFonts w:hint="eastAsia" w:ascii="宋体" w:hAnsi="宋体"/>
                      <w:sz w:val="18"/>
                      <w:szCs w:val="18"/>
                    </w:rPr>
                    <w:t>%</w:t>
                  </w:r>
                </w:p>
              </w:tc>
              <w:tc>
                <w:tcPr>
                  <w:tcW w:w="1843" w:type="dxa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检查数据分析</w:t>
                  </w:r>
                </w:p>
              </w:tc>
              <w:tc>
                <w:tcPr>
                  <w:tcW w:w="1330" w:type="dxa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ascii="宋体" w:hAnsi="宋体"/>
                      <w:sz w:val="18"/>
                      <w:szCs w:val="18"/>
                    </w:rPr>
                  </w:pPr>
                  <w:r>
                    <w:rPr>
                      <w:rFonts w:ascii="宋体" w:hAnsi="宋体"/>
                      <w:sz w:val="18"/>
                      <w:szCs w:val="18"/>
                    </w:rPr>
                    <w:t>100</w:t>
                  </w:r>
                  <w:r>
                    <w:rPr>
                      <w:rFonts w:hint="eastAsia" w:ascii="宋体" w:hAnsi="宋体"/>
                      <w:sz w:val="18"/>
                      <w:szCs w:val="18"/>
                    </w:rPr>
                    <w:t>%</w:t>
                  </w:r>
                </w:p>
              </w:tc>
              <w:tc>
                <w:tcPr>
                  <w:tcW w:w="1632" w:type="dxa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符合</w:t>
                  </w:r>
                </w:p>
              </w:tc>
            </w:tr>
          </w:tbl>
          <w:p>
            <w:pPr>
              <w:spacing w:line="280" w:lineRule="exact"/>
              <w:ind w:firstLine="420" w:firstLineChars="200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目标可测量，与公司方针一致。</w:t>
            </w:r>
          </w:p>
          <w:p>
            <w:pPr>
              <w:spacing w:line="280" w:lineRule="exact"/>
              <w:ind w:firstLine="420" w:firstLineChars="200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管理目标完成情况：查到20</w:t>
            </w:r>
            <w:r>
              <w:rPr>
                <w:color w:val="000000"/>
                <w:szCs w:val="21"/>
              </w:rPr>
              <w:t>21</w:t>
            </w:r>
            <w:r>
              <w:rPr>
                <w:rFonts w:hint="eastAsia"/>
                <w:color w:val="000000"/>
                <w:szCs w:val="21"/>
              </w:rPr>
              <w:t>年1月-</w:t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6</w:t>
            </w:r>
            <w:r>
              <w:rPr>
                <w:rFonts w:hint="eastAsia"/>
                <w:color w:val="000000"/>
                <w:szCs w:val="21"/>
              </w:rPr>
              <w:t>月部门管理目标考核情况，以上管理目标已全部完成，考核：</w:t>
            </w:r>
            <w:r>
              <w:rPr>
                <w:rFonts w:hint="eastAsia"/>
              </w:rPr>
              <w:t>王益枫</w:t>
            </w:r>
            <w:r>
              <w:rPr>
                <w:rFonts w:hint="eastAsia"/>
                <w:color w:val="000000"/>
                <w:szCs w:val="21"/>
              </w:rPr>
              <w:t xml:space="preserve"> 审批：田月华。</w:t>
            </w:r>
          </w:p>
          <w:p>
            <w:pPr>
              <w:spacing w:line="280" w:lineRule="exact"/>
              <w:ind w:firstLine="420" w:firstLineChars="200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针对以上环境、职业健康安全目标和重要环境因素和重大危险源公司制定了相应的《管理方案》，内容涉及主要措施、责任部门、经费、时间要求、实施情况等。如落实固体废弃物管理责任制，按可回收、不可回收和危废分类处理；划分可回收、不可回收和危废的临时存放区域落实；消防工作责任制，每月对消防设施进行检查，发现不合格消防设施及时更新，对员工防火意识教育，严禁在禁止吸烟处吸烟等……</w:t>
            </w:r>
          </w:p>
          <w:p>
            <w:pPr>
              <w:spacing w:line="280" w:lineRule="exact"/>
              <w:ind w:firstLine="420" w:firstLineChars="200"/>
            </w:pPr>
            <w:r>
              <w:rPr>
                <w:rFonts w:hint="eastAsia"/>
                <w:szCs w:val="21"/>
              </w:rPr>
              <w:t>抽查《QEO目标/指标/管理方案完成情况检查表》，均合格</w:t>
            </w:r>
          </w:p>
          <w:p>
            <w:pPr>
              <w:spacing w:line="280" w:lineRule="exact"/>
              <w:ind w:firstLine="420" w:firstLineChars="200"/>
              <w:rPr>
                <w:rFonts w:hint="default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</w:rPr>
              <w:t>抽查</w:t>
            </w:r>
            <w:r>
              <w:rPr>
                <w:rFonts w:hint="eastAsia"/>
                <w:szCs w:val="21"/>
                <w:lang w:eastAsia="zh-CN"/>
              </w:rPr>
              <w:t>《工作环境、安全检查表》，</w:t>
            </w:r>
            <w:r>
              <w:rPr>
                <w:rFonts w:hint="eastAsia"/>
                <w:szCs w:val="21"/>
                <w:lang w:val="en-US" w:eastAsia="zh-CN"/>
              </w:rPr>
              <w:t>抽2021年7月28日、2021年8月30日均无异常</w:t>
            </w:r>
          </w:p>
          <w:p>
            <w:pPr>
              <w:spacing w:line="280" w:lineRule="exact"/>
              <w:ind w:firstLine="420" w:firstLineChars="200"/>
              <w:rPr>
                <w:color w:val="000000"/>
                <w:szCs w:val="21"/>
              </w:rPr>
            </w:pPr>
          </w:p>
        </w:tc>
        <w:tc>
          <w:tcPr>
            <w:tcW w:w="1585" w:type="dxa"/>
          </w:tcPr>
          <w:p>
            <w:r>
              <w:rPr>
                <w:rFonts w:hint="eastAsia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8" w:hRule="atLeast"/>
        </w:trPr>
        <w:tc>
          <w:tcPr>
            <w:tcW w:w="2160" w:type="dxa"/>
          </w:tcPr>
          <w:p>
            <w:pPr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基础设施</w:t>
            </w:r>
          </w:p>
        </w:tc>
        <w:tc>
          <w:tcPr>
            <w:tcW w:w="960" w:type="dxa"/>
          </w:tcPr>
          <w:p>
            <w:pPr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QMS</w:t>
            </w:r>
          </w:p>
          <w:p>
            <w:pPr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 xml:space="preserve">7.1.3 </w:t>
            </w:r>
          </w:p>
        </w:tc>
        <w:tc>
          <w:tcPr>
            <w:tcW w:w="10004" w:type="dxa"/>
          </w:tcPr>
          <w:p>
            <w:pPr>
              <w:spacing w:line="280" w:lineRule="exact"/>
              <w:ind w:firstLine="420" w:firstLineChars="200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提供《设施一览表》一份，主要设备有：电脑、业务操作系统（回收商城APP管理系统、垃圾分类智能回收商城软件、智能硬件管理系统）、智能型称重设备、打印机、空调、投影仪等，登记了设施编号、设施名称、数量、设施状态等。</w:t>
            </w:r>
          </w:p>
          <w:p>
            <w:pPr>
              <w:spacing w:line="280" w:lineRule="exact"/>
              <w:ind w:firstLine="420" w:firstLineChars="200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核实：电脑，使用地点综合部，设备状态完好。</w:t>
            </w:r>
          </w:p>
          <w:p>
            <w:pPr>
              <w:spacing w:line="280" w:lineRule="exact"/>
              <w:ind w:firstLine="420" w:firstLineChars="200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公司办公通讯设备实施日常清洁，由员工在每天工作前进行，现场核实该设备，完好。电脑软件等，必要时升级。</w:t>
            </w:r>
          </w:p>
          <w:p>
            <w:pPr>
              <w:spacing w:line="280" w:lineRule="exact"/>
              <w:ind w:firstLine="420" w:firstLineChars="200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对办公通讯设备进行定期维护和保养工作基本正常，对于工作中发现的设备故障，能及时维修，设备暂无故障维修。</w:t>
            </w:r>
          </w:p>
          <w:p>
            <w:pPr>
              <w:spacing w:line="280" w:lineRule="exact"/>
              <w:ind w:firstLine="420" w:firstLineChars="200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查目前设备状态良好。</w:t>
            </w:r>
          </w:p>
          <w:p>
            <w:pPr>
              <w:spacing w:line="280" w:lineRule="exact"/>
              <w:ind w:firstLine="420" w:firstLineChars="200"/>
              <w:rPr>
                <w:b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无特种设备。</w:t>
            </w:r>
          </w:p>
        </w:tc>
        <w:tc>
          <w:tcPr>
            <w:tcW w:w="1585" w:type="dxa"/>
          </w:tcPr>
          <w:p>
            <w:r>
              <w:rPr>
                <w:rFonts w:hint="eastAsia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</w:trPr>
        <w:tc>
          <w:tcPr>
            <w:tcW w:w="2160" w:type="dxa"/>
          </w:tcPr>
          <w:p>
            <w:pPr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过程运行环境</w:t>
            </w:r>
          </w:p>
        </w:tc>
        <w:tc>
          <w:tcPr>
            <w:tcW w:w="960" w:type="dxa"/>
          </w:tcPr>
          <w:p>
            <w:pPr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QMS</w:t>
            </w:r>
          </w:p>
          <w:p>
            <w:pPr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 xml:space="preserve">7.1.4 </w:t>
            </w:r>
          </w:p>
        </w:tc>
        <w:tc>
          <w:tcPr>
            <w:tcW w:w="10004" w:type="dxa"/>
          </w:tcPr>
          <w:p>
            <w:pPr>
              <w:spacing w:line="280" w:lineRule="exact"/>
              <w:ind w:firstLine="480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公司办公场地环境干净整洁、通风良好，办公通讯设施完善，能得到良好的维护，环境适宜，适宜于产品的销售过程控制要求。工作现场对于环境主要应注意消防安全、办公场地的干净整洁，要求作业人员注意设备、防火和电器安全等。</w:t>
            </w:r>
          </w:p>
        </w:tc>
        <w:tc>
          <w:tcPr>
            <w:tcW w:w="1585" w:type="dxa"/>
          </w:tcPr>
          <w:p>
            <w:r>
              <w:rPr>
                <w:rFonts w:hint="eastAsia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160" w:type="dxa"/>
          </w:tcPr>
          <w:p>
            <w:pPr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监视和测量资源</w:t>
            </w:r>
          </w:p>
        </w:tc>
        <w:tc>
          <w:tcPr>
            <w:tcW w:w="960" w:type="dxa"/>
          </w:tcPr>
          <w:p>
            <w:pPr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QMS</w:t>
            </w:r>
          </w:p>
          <w:p>
            <w:pPr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 xml:space="preserve">7.1.5 </w:t>
            </w:r>
          </w:p>
        </w:tc>
        <w:tc>
          <w:tcPr>
            <w:tcW w:w="10004" w:type="dxa"/>
          </w:tcPr>
          <w:p>
            <w:pPr>
              <w:spacing w:line="280" w:lineRule="exact"/>
              <w:ind w:firstLine="420" w:firstLineChars="200"/>
              <w:rPr>
                <w:rFonts w:hint="eastAsia"/>
              </w:rPr>
            </w:pPr>
            <w:r>
              <w:rPr>
                <w:rFonts w:hint="eastAsia"/>
              </w:rPr>
              <w:t>本公司主要</w:t>
            </w:r>
            <w:r>
              <w:rPr>
                <w:rFonts w:hint="eastAsia"/>
                <w:lang w:val="en-US" w:eastAsia="zh-CN"/>
              </w:rPr>
              <w:t>城市生活垃圾分类管理</w:t>
            </w:r>
            <w:r>
              <w:rPr>
                <w:rFonts w:hint="eastAsia"/>
              </w:rPr>
              <w:t>，是属于服务型行业，测量设备主要称重设备，与业务系统在用的软件配套的智能型称重设备。即为测量设备，也为服务过程的作业设备。</w:t>
            </w:r>
          </w:p>
          <w:p>
            <w:pPr>
              <w:spacing w:line="280" w:lineRule="exact"/>
              <w:ind w:firstLine="420" w:firstLineChars="20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查：台秤，证书编号：HKJ210401801,检测机构：深圳华科计量检测技术有限公司，检测日期：2021.4.6</w:t>
            </w:r>
          </w:p>
          <w:p>
            <w:pPr>
              <w:spacing w:line="280" w:lineRule="exact"/>
              <w:ind w:firstLine="840" w:firstLineChars="400"/>
              <w:rPr>
                <w:rFonts w:hint="default" w:eastAsia="宋体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/>
                <w:lang w:val="en-US" w:eastAsia="zh-CN"/>
              </w:rPr>
              <w:t>台秤，证书编号：HKJ210401802,检测机构：深圳华科计量检测技术有限公司，检测日期：2021.4.6</w:t>
            </w:r>
          </w:p>
        </w:tc>
        <w:tc>
          <w:tcPr>
            <w:tcW w:w="1585" w:type="dxa"/>
          </w:tcPr>
          <w:p>
            <w:r>
              <w:rPr>
                <w:rFonts w:hint="eastAsia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4" w:hRule="atLeast"/>
        </w:trPr>
        <w:tc>
          <w:tcPr>
            <w:tcW w:w="2160" w:type="dxa"/>
          </w:tcPr>
          <w:p>
            <w:pPr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运行策划和控制</w:t>
            </w:r>
          </w:p>
        </w:tc>
        <w:tc>
          <w:tcPr>
            <w:tcW w:w="960" w:type="dxa"/>
          </w:tcPr>
          <w:p>
            <w:pPr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QMS:8.1</w:t>
            </w:r>
          </w:p>
          <w:p>
            <w:pPr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 xml:space="preserve"> </w:t>
            </w:r>
          </w:p>
        </w:tc>
        <w:tc>
          <w:tcPr>
            <w:tcW w:w="10004" w:type="dxa"/>
          </w:tcPr>
          <w:p>
            <w:pPr>
              <w:spacing w:line="280" w:lineRule="exact"/>
              <w:ind w:firstLine="420" w:firstLineChars="20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对于管理体系覆盖范围内常规销售服务，公司已在管理体系运行之初进行了销售和服务实现的策划，形成的各类文件《与顾客有关过程管理程序》、《销售文件格式与编号规定》、《DB33/T 1166-2019《城镇生活垃圾分类标准》、《杭州市垃圾分类管理条例》等能确保正常的服务实现，同时也为品质部的作业依据。</w:t>
            </w:r>
          </w:p>
          <w:p>
            <w:pPr>
              <w:pStyle w:val="4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城市生活垃圾分类管理流程</w:t>
            </w: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pStyle w:val="4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签订社区服务合同→制定社区垃圾分类管理服务方案→投放垃圾分类箱→宣传垃圾分类知识→定投督导服务。</w:t>
            </w:r>
          </w:p>
          <w:p>
            <w:pPr>
              <w:tabs>
                <w:tab w:val="left" w:pos="6002"/>
              </w:tabs>
              <w:spacing w:line="280" w:lineRule="exact"/>
              <w:ind w:firstLine="420" w:firstLineChars="200"/>
              <w:rPr>
                <w:rFonts w:ascii="宋体" w:hAnsi="宋体" w:cs="宋体"/>
                <w:szCs w:val="21"/>
              </w:rPr>
            </w:pPr>
          </w:p>
          <w:p>
            <w:pPr>
              <w:spacing w:line="280" w:lineRule="exact"/>
              <w:ind w:firstLine="420" w:firstLineChars="200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关键过程：</w:t>
            </w:r>
            <w:r>
              <w:rPr>
                <w:rFonts w:hint="eastAsia"/>
                <w:lang w:val="en-US" w:eastAsia="zh-CN"/>
              </w:rPr>
              <w:t>定投督导服务</w:t>
            </w:r>
          </w:p>
          <w:p>
            <w:pPr>
              <w:pStyle w:val="4"/>
              <w:rPr>
                <w:rFonts w:hint="eastAsia"/>
                <w:lang w:val="en-US" w:eastAsia="zh-CN"/>
              </w:rPr>
            </w:pPr>
          </w:p>
          <w:p>
            <w:pPr>
              <w:spacing w:line="280" w:lineRule="exact"/>
              <w:ind w:firstLine="420" w:firstLineChars="20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编制《垃圾分类服务管理手册》指导</w:t>
            </w:r>
            <w:r>
              <w:rPr>
                <w:rFonts w:hint="eastAsia"/>
                <w:lang w:val="en-US" w:eastAsia="zh-CN"/>
              </w:rPr>
              <w:t>社区垃圾分类管理</w:t>
            </w:r>
            <w:r>
              <w:rPr>
                <w:rFonts w:hint="eastAsia" w:ascii="宋体" w:hAnsi="宋体" w:cs="宋体"/>
                <w:szCs w:val="21"/>
              </w:rPr>
              <w:t>服务按规定进行。</w:t>
            </w:r>
          </w:p>
          <w:p>
            <w:pPr>
              <w:spacing w:line="280" w:lineRule="exact"/>
              <w:ind w:firstLine="420" w:firstLineChars="200"/>
              <w:rPr>
                <w:rFonts w:ascii="宋体" w:hAnsi="宋体" w:cs="宋体"/>
                <w:szCs w:val="21"/>
              </w:rPr>
            </w:pPr>
            <w:r>
              <w:rPr>
                <w:rFonts w:hint="eastAsia"/>
                <w:lang w:val="en-US" w:eastAsia="zh-CN"/>
              </w:rPr>
              <w:t>社区垃圾分类管理</w:t>
            </w:r>
            <w:r>
              <w:rPr>
                <w:rFonts w:hint="eastAsia" w:ascii="宋体" w:hAnsi="宋体" w:cs="宋体"/>
                <w:szCs w:val="21"/>
              </w:rPr>
              <w:t>服务过程中使用的设备：电话、电脑、管理系统、网络、复印机</w:t>
            </w:r>
            <w:r>
              <w:rPr>
                <w:rFonts w:hint="eastAsia" w:ascii="宋体" w:hAnsi="宋体" w:cs="宋体"/>
                <w:szCs w:val="21"/>
                <w:lang w:eastAsia="zh-CN"/>
              </w:rPr>
              <w:t>、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分类垃圾桶</w:t>
            </w:r>
            <w:r>
              <w:rPr>
                <w:rFonts w:hint="eastAsia" w:ascii="宋体" w:hAnsi="宋体" w:cs="宋体"/>
                <w:szCs w:val="21"/>
              </w:rPr>
              <w:t>等，以上设备配置适宜，能确保服务的实现。</w:t>
            </w:r>
          </w:p>
          <w:p>
            <w:pPr>
              <w:spacing w:line="280" w:lineRule="exact"/>
              <w:ind w:firstLine="420" w:firstLineChars="20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服务</w:t>
            </w:r>
            <w:r>
              <w:rPr>
                <w:rFonts w:hint="eastAsia" w:ascii="宋体" w:hAnsi="宋体" w:cs="宋体"/>
                <w:szCs w:val="21"/>
              </w:rPr>
              <w:t>过程依据合同约定，确定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服务</w:t>
            </w:r>
            <w:r>
              <w:rPr>
                <w:rFonts w:hint="eastAsia" w:ascii="宋体" w:hAnsi="宋体" w:cs="宋体"/>
                <w:szCs w:val="21"/>
              </w:rPr>
              <w:t>地点、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服务要求内容、</w:t>
            </w:r>
            <w:r>
              <w:rPr>
                <w:rFonts w:hint="eastAsia" w:ascii="宋体" w:hAnsi="宋体" w:cs="宋体"/>
                <w:szCs w:val="21"/>
              </w:rPr>
              <w:t>时间等信息</w:t>
            </w:r>
            <w:r>
              <w:rPr>
                <w:rFonts w:hint="eastAsia" w:ascii="宋体" w:hAnsi="宋体" w:cs="宋体"/>
                <w:szCs w:val="21"/>
                <w:lang w:eastAsia="zh-CN"/>
              </w:rPr>
              <w:t>，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制定</w:t>
            </w:r>
            <w:r>
              <w:rPr>
                <w:rFonts w:hint="eastAsia"/>
                <w:lang w:val="en-US" w:eastAsia="zh-CN"/>
              </w:rPr>
              <w:t>社区垃圾分类管理服务方案</w:t>
            </w:r>
            <w:r>
              <w:rPr>
                <w:rFonts w:hint="eastAsia" w:ascii="宋体" w:hAnsi="宋体" w:cs="宋体"/>
                <w:szCs w:val="21"/>
              </w:rPr>
              <w:t>；运营部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安排工作人员</w:t>
            </w:r>
            <w:r>
              <w:rPr>
                <w:rFonts w:hint="eastAsia" w:ascii="宋体" w:hAnsi="宋体" w:cs="宋体"/>
                <w:szCs w:val="21"/>
              </w:rPr>
              <w:t>，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每日定点投放垃圾桶、定时回收垃圾桶，对垃圾桶内垃圾进行简单分装</w:t>
            </w:r>
            <w:r>
              <w:rPr>
                <w:rFonts w:hint="eastAsia" w:ascii="宋体" w:hAnsi="宋体" w:cs="宋体"/>
                <w:szCs w:val="21"/>
              </w:rPr>
              <w:t>，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不定时对社区群众进行垃圾分类的知识宣传讲解，定期进行</w:t>
            </w:r>
            <w:r>
              <w:rPr>
                <w:rFonts w:hint="eastAsia"/>
                <w:lang w:val="en-US" w:eastAsia="zh-CN"/>
              </w:rPr>
              <w:t>督导检查，核实垃圾分类处理的完成程度，</w:t>
            </w:r>
            <w:r>
              <w:rPr>
                <w:rFonts w:hint="eastAsia" w:ascii="宋体" w:hAnsi="宋体" w:cs="宋体"/>
                <w:szCs w:val="21"/>
              </w:rPr>
              <w:t>流程结束。</w:t>
            </w:r>
          </w:p>
          <w:p>
            <w:pPr>
              <w:spacing w:line="280" w:lineRule="exact"/>
              <w:ind w:firstLine="420" w:firstLineChars="200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主要监测设备有：</w:t>
            </w:r>
            <w:r>
              <w:rPr>
                <w:rFonts w:hint="eastAsia" w:ascii="宋体" w:hAnsi="宋体" w:cs="宋体"/>
                <w:szCs w:val="21"/>
                <w:lang w:eastAsia="zh-CN"/>
              </w:rPr>
              <w:t>《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垃圾分类第三方服务单位月度考核细则》</w:t>
            </w:r>
            <w:r>
              <w:rPr>
                <w:rFonts w:hint="eastAsia" w:ascii="宋体" w:hAnsi="宋体" w:cs="宋体"/>
                <w:szCs w:val="21"/>
              </w:rPr>
              <w:t>。</w:t>
            </w:r>
          </w:p>
          <w:p>
            <w:pPr>
              <w:spacing w:line="280" w:lineRule="exact"/>
              <w:ind w:firstLine="420" w:firstLineChars="200"/>
              <w:rPr>
                <w:rFonts w:hint="default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参照标准：《杭州市垃圾分类收集设施设置导则》、</w:t>
            </w: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DB33/T 1166-2019《城镇生活垃圾分类标准》</w:t>
            </w:r>
            <w:r>
              <w:rPr>
                <w:rFonts w:hint="eastAsia" w:ascii="宋体" w:hAnsi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和合同要求等</w:t>
            </w:r>
          </w:p>
          <w:p>
            <w:pPr>
              <w:spacing w:line="280" w:lineRule="exact"/>
              <w:ind w:firstLine="420" w:firstLineChars="20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以上服务实现的策划工作基本符合要求，能确保</w:t>
            </w:r>
            <w:r>
              <w:rPr>
                <w:rFonts w:hint="eastAsia"/>
                <w:lang w:val="en-US" w:eastAsia="zh-CN"/>
              </w:rPr>
              <w:t>社区垃圾分类管理</w:t>
            </w:r>
            <w:r>
              <w:rPr>
                <w:rFonts w:hint="eastAsia" w:ascii="宋体" w:hAnsi="宋体" w:cs="宋体"/>
                <w:szCs w:val="21"/>
              </w:rPr>
              <w:t>服务实现和质量目标的实现。</w:t>
            </w:r>
          </w:p>
          <w:p>
            <w:pPr>
              <w:spacing w:line="280" w:lineRule="exact"/>
              <w:ind w:firstLine="420" w:firstLineChars="20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目前无其他特定销售服务和合同的策划。</w:t>
            </w:r>
          </w:p>
          <w:p>
            <w:pPr>
              <w:spacing w:line="280" w:lineRule="exact"/>
              <w:ind w:firstLine="420" w:firstLineChars="20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垃圾的清运由保洁公司或政府单位进行负责</w:t>
            </w:r>
            <w:r>
              <w:rPr>
                <w:rFonts w:hint="eastAsia" w:ascii="宋体" w:hAnsi="宋体" w:cs="宋体"/>
                <w:szCs w:val="21"/>
              </w:rPr>
              <w:t>。</w:t>
            </w:r>
          </w:p>
        </w:tc>
        <w:tc>
          <w:tcPr>
            <w:tcW w:w="1585" w:type="dxa"/>
          </w:tcPr>
          <w:p>
            <w:r>
              <w:rPr>
                <w:rFonts w:hint="eastAsia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1" w:hRule="atLeast"/>
        </w:trPr>
        <w:tc>
          <w:tcPr>
            <w:tcW w:w="2160" w:type="dxa"/>
          </w:tcPr>
          <w:p>
            <w:pPr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外部提供过程</w:t>
            </w:r>
          </w:p>
        </w:tc>
        <w:tc>
          <w:tcPr>
            <w:tcW w:w="960" w:type="dxa"/>
          </w:tcPr>
          <w:p>
            <w:pPr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QMS:8.4</w:t>
            </w:r>
          </w:p>
          <w:p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0004" w:type="dxa"/>
            <w:vAlign w:val="center"/>
          </w:tcPr>
          <w:p>
            <w:pPr>
              <w:spacing w:line="280" w:lineRule="exact"/>
              <w:ind w:firstLine="420" w:firstLineChars="20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公司采购产品主要为小区内垃圾分类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使用的垃圾桶及办公用品</w:t>
            </w:r>
            <w:r>
              <w:rPr>
                <w:rFonts w:hint="eastAsia" w:ascii="宋体" w:hAnsi="宋体" w:cs="宋体"/>
                <w:szCs w:val="21"/>
              </w:rPr>
              <w:t>。</w:t>
            </w:r>
          </w:p>
          <w:p>
            <w:pPr>
              <w:pStyle w:val="4"/>
              <w:ind w:firstLine="481"/>
              <w:jc w:val="both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依据DB33/T 1166-2019《城镇生活垃圾分类标准》，采购合适的垃圾桶，依据服务合同要求定点定时投放到各个小区。</w:t>
            </w:r>
          </w:p>
          <w:p>
            <w:pPr>
              <w:pStyle w:val="4"/>
              <w:ind w:firstLine="481"/>
              <w:jc w:val="both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品质验收主要为目测数量和型号。</w:t>
            </w:r>
          </w:p>
          <w:p>
            <w:pPr>
              <w:spacing w:line="280" w:lineRule="exact"/>
              <w:ind w:firstLine="420" w:firstLineChars="20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已编制形成《合格供方名录》；抽查</w:t>
            </w:r>
          </w:p>
          <w:p>
            <w:pPr>
              <w:numPr>
                <w:ilvl w:val="0"/>
                <w:numId w:val="1"/>
              </w:numPr>
              <w:spacing w:line="280" w:lineRule="exact"/>
              <w:ind w:firstLine="420" w:firstLineChars="200"/>
              <w:rPr>
                <w:rFonts w:ascii="宋体" w:hAnsi="宋体" w:cs="宋体"/>
                <w:szCs w:val="21"/>
              </w:rPr>
            </w:pPr>
            <w:r>
              <w:rPr>
                <w:rFonts w:hint="eastAsia"/>
                <w:spacing w:val="0"/>
                <w:szCs w:val="22"/>
                <w:lang w:val="en-US" w:eastAsia="zh-CN"/>
              </w:rPr>
              <w:t>杭州萧山新塘芬利百货商行</w:t>
            </w:r>
            <w:r>
              <w:rPr>
                <w:rFonts w:hint="eastAsia" w:ascii="宋体" w:hAnsi="宋体" w:cs="宋体"/>
                <w:szCs w:val="21"/>
              </w:rPr>
              <w:t>，提供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灭火器、劳保用品、垃圾桶</w:t>
            </w:r>
            <w:r>
              <w:rPr>
                <w:rFonts w:hint="eastAsia" w:ascii="宋体" w:hAnsi="宋体" w:cs="宋体"/>
                <w:szCs w:val="21"/>
              </w:rPr>
              <w:t>，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针对产品质量、价格和使用效果进行了供应商评鉴</w:t>
            </w:r>
            <w:r>
              <w:rPr>
                <w:rFonts w:hint="eastAsia" w:ascii="宋体" w:hAnsi="宋体" w:cs="宋体"/>
                <w:szCs w:val="21"/>
              </w:rPr>
              <w:t>。</w:t>
            </w:r>
          </w:p>
          <w:p>
            <w:pPr>
              <w:numPr>
                <w:ilvl w:val="0"/>
                <w:numId w:val="1"/>
              </w:numPr>
              <w:spacing w:line="280" w:lineRule="exact"/>
              <w:ind w:firstLine="420" w:firstLineChars="200"/>
              <w:rPr>
                <w:rFonts w:ascii="宋体" w:hAnsi="宋体" w:cs="宋体"/>
                <w:szCs w:val="21"/>
              </w:rPr>
            </w:pPr>
            <w:r>
              <w:rPr>
                <w:rFonts w:hint="eastAsia"/>
                <w:spacing w:val="0"/>
                <w:szCs w:val="22"/>
                <w:lang w:val="en-US" w:eastAsia="zh-CN"/>
              </w:rPr>
              <w:t>诸暨市金锐电脑经营部</w:t>
            </w:r>
            <w:r>
              <w:rPr>
                <w:rFonts w:hint="eastAsia" w:ascii="宋体" w:hAnsi="宋体" w:cs="宋体"/>
                <w:szCs w:val="21"/>
              </w:rPr>
              <w:t>，提供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办公用品</w:t>
            </w:r>
            <w:r>
              <w:rPr>
                <w:rFonts w:hint="eastAsia" w:ascii="宋体" w:hAnsi="宋体" w:cs="宋体"/>
                <w:szCs w:val="21"/>
              </w:rPr>
              <w:t>，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针对产品质量、价格和使用效果进行了供应商评鉴</w:t>
            </w:r>
            <w:r>
              <w:rPr>
                <w:rFonts w:hint="eastAsia" w:ascii="宋体" w:hAnsi="宋体" w:cs="宋体"/>
                <w:szCs w:val="21"/>
              </w:rPr>
              <w:t>。</w:t>
            </w:r>
          </w:p>
          <w:p>
            <w:pPr>
              <w:numPr>
                <w:ilvl w:val="0"/>
                <w:numId w:val="1"/>
              </w:numPr>
              <w:spacing w:line="280" w:lineRule="exact"/>
              <w:ind w:firstLine="420" w:firstLineChars="20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绍兴市柯桥区杨汛桥百诚电脑商行</w:t>
            </w:r>
            <w:r>
              <w:rPr>
                <w:rFonts w:hint="eastAsia" w:ascii="宋体" w:hAnsi="宋体" w:cs="宋体"/>
                <w:szCs w:val="21"/>
              </w:rPr>
              <w:t>，提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电脑</w:t>
            </w:r>
            <w:r>
              <w:rPr>
                <w:rFonts w:hint="eastAsia" w:ascii="宋体" w:hAnsi="宋体" w:cs="宋体"/>
                <w:szCs w:val="21"/>
              </w:rPr>
              <w:t>，，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针对产品质量、价格和使用效果进行了供应商评鉴</w:t>
            </w:r>
            <w:r>
              <w:rPr>
                <w:rFonts w:hint="eastAsia" w:ascii="宋体" w:hAnsi="宋体" w:cs="宋体"/>
                <w:szCs w:val="21"/>
              </w:rPr>
              <w:t>。。</w:t>
            </w:r>
          </w:p>
          <w:p>
            <w:pPr>
              <w:spacing w:line="280" w:lineRule="exact"/>
              <w:ind w:firstLine="420" w:firstLineChars="200"/>
              <w:rPr>
                <w:color w:val="000000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对于物品的采购，管控措施有效，信息登录齐全。</w:t>
            </w:r>
          </w:p>
        </w:tc>
        <w:tc>
          <w:tcPr>
            <w:tcW w:w="1585" w:type="dxa"/>
          </w:tcPr>
          <w:p>
            <w:r>
              <w:rPr>
                <w:rFonts w:hint="eastAsia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1" w:hRule="atLeast"/>
        </w:trPr>
        <w:tc>
          <w:tcPr>
            <w:tcW w:w="2160" w:type="dxa"/>
          </w:tcPr>
          <w:p>
            <w:pPr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生产和服务提供的控制</w:t>
            </w:r>
          </w:p>
        </w:tc>
        <w:tc>
          <w:tcPr>
            <w:tcW w:w="960" w:type="dxa"/>
          </w:tcPr>
          <w:p>
            <w:pPr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QMS</w:t>
            </w:r>
          </w:p>
          <w:p>
            <w:pPr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 xml:space="preserve">8.5.1 </w:t>
            </w:r>
          </w:p>
          <w:p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0004" w:type="dxa"/>
          </w:tcPr>
          <w:p>
            <w:pPr>
              <w:pStyle w:val="4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城市生活垃圾分类管理流程</w:t>
            </w: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pStyle w:val="4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签订社区服务合同→制定社区垃圾分类管理服务方案→投放垃圾分类箱→宣传垃圾分类知识→定投督导服务。</w:t>
            </w:r>
          </w:p>
          <w:p>
            <w:pPr>
              <w:tabs>
                <w:tab w:val="left" w:pos="6002"/>
              </w:tabs>
              <w:spacing w:line="280" w:lineRule="exact"/>
              <w:ind w:firstLine="420" w:firstLineChars="200"/>
              <w:rPr>
                <w:rFonts w:ascii="宋体" w:hAnsi="宋体" w:cs="宋体"/>
                <w:szCs w:val="21"/>
              </w:rPr>
            </w:pPr>
          </w:p>
          <w:p>
            <w:pPr>
              <w:spacing w:line="280" w:lineRule="exact"/>
              <w:ind w:firstLine="420" w:firstLineChars="200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关键过程：</w:t>
            </w:r>
            <w:r>
              <w:rPr>
                <w:rFonts w:hint="eastAsia"/>
                <w:lang w:val="en-US" w:eastAsia="zh-CN"/>
              </w:rPr>
              <w:t>定投督导服务</w:t>
            </w:r>
          </w:p>
          <w:p>
            <w:pPr>
              <w:spacing w:line="280" w:lineRule="exact"/>
              <w:ind w:firstLine="48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default" w:ascii="宋体" w:hAnsi="宋体" w:eastAsia="宋体" w:cs="宋体"/>
                <w:szCs w:val="21"/>
                <w:lang w:val="en-US" w:eastAsia="zh-CN"/>
              </w:rPr>
              <w:t>过程制定《作业指导书》、《</w:t>
            </w:r>
            <w:r>
              <w:rPr>
                <w:rFonts w:hint="eastAsia" w:ascii="宋体" w:hAnsi="宋体" w:eastAsia="宋体" w:cs="宋体"/>
                <w:szCs w:val="21"/>
              </w:rPr>
              <w:t>垃圾分类服务管理手册</w:t>
            </w:r>
            <w:r>
              <w:rPr>
                <w:rFonts w:hint="default" w:ascii="宋体" w:hAnsi="宋体" w:eastAsia="宋体" w:cs="宋体"/>
                <w:szCs w:val="21"/>
                <w:lang w:val="en-US" w:eastAsia="zh-CN"/>
              </w:rPr>
              <w:t>》，提供《</w:t>
            </w:r>
            <w:r>
              <w:rPr>
                <w:rFonts w:hint="eastAsia" w:ascii="宋体" w:hAnsi="宋体" w:eastAsia="宋体" w:cs="宋体"/>
                <w:szCs w:val="21"/>
              </w:rPr>
              <w:t>垃圾分类日常检查细则</w:t>
            </w:r>
            <w:r>
              <w:rPr>
                <w:rFonts w:hint="default" w:ascii="宋体" w:hAnsi="宋体" w:eastAsia="宋体" w:cs="宋体"/>
                <w:szCs w:val="21"/>
                <w:lang w:val="en-US" w:eastAsia="zh-CN"/>
              </w:rPr>
              <w:t>》对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关键</w:t>
            </w:r>
            <w:r>
              <w:rPr>
                <w:rFonts w:hint="default" w:ascii="宋体" w:hAnsi="宋体" w:eastAsia="宋体" w:cs="宋体"/>
                <w:szCs w:val="21"/>
                <w:lang w:val="en-US" w:eastAsia="zh-CN"/>
              </w:rPr>
              <w:t>工序进行过程监控，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定期进行督导检查，核实垃圾分类处理的完成程度</w:t>
            </w:r>
            <w:r>
              <w:rPr>
                <w:rFonts w:hint="default" w:ascii="宋体" w:hAnsi="宋体" w:eastAsia="宋体" w:cs="宋体"/>
                <w:szCs w:val="21"/>
                <w:lang w:val="en-US" w:eastAsia="zh-CN"/>
              </w:rPr>
              <w:t>，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用于服务费用结算</w:t>
            </w:r>
            <w:r>
              <w:rPr>
                <w:rFonts w:hint="default" w:ascii="宋体" w:hAnsi="宋体" w:eastAsia="宋体" w:cs="宋体"/>
                <w:szCs w:val="21"/>
                <w:lang w:val="en-US" w:eastAsia="zh-CN"/>
              </w:rPr>
              <w:t>。</w:t>
            </w:r>
          </w:p>
          <w:p>
            <w:pPr>
              <w:spacing w:line="280" w:lineRule="exact"/>
              <w:ind w:firstLine="48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公司办公现场观察：</w:t>
            </w:r>
          </w:p>
          <w:p>
            <w:pPr>
              <w:spacing w:line="280" w:lineRule="exact"/>
              <w:ind w:firstLine="480"/>
              <w:rPr>
                <w:rFonts w:ascii="宋体" w:hAnsi="宋体" w:cs="宋体"/>
                <w:szCs w:val="21"/>
              </w:rPr>
            </w:pPr>
            <w:r>
              <w:rPr>
                <w:rFonts w:hint="eastAsia"/>
                <w:lang w:val="en-US" w:eastAsia="zh-CN"/>
              </w:rPr>
              <w:t>社区垃圾分类管理</w:t>
            </w:r>
            <w:r>
              <w:rPr>
                <w:rFonts w:hint="eastAsia" w:ascii="宋体" w:hAnsi="宋体" w:cs="宋体"/>
                <w:szCs w:val="21"/>
              </w:rPr>
              <w:t>服务设备：电脑、管理系统、网络、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垃圾桶</w:t>
            </w:r>
            <w:r>
              <w:rPr>
                <w:rFonts w:hint="eastAsia" w:ascii="宋体" w:hAnsi="宋体" w:cs="宋体"/>
                <w:szCs w:val="21"/>
              </w:rPr>
              <w:t>等，维护保养完好，有保养记录并经运营部确认，设备能力</w:t>
            </w:r>
            <w:r>
              <w:rPr>
                <w:rFonts w:hint="eastAsia"/>
                <w:lang w:val="en-US" w:eastAsia="zh-CN"/>
              </w:rPr>
              <w:t>社区垃圾分类管理</w:t>
            </w:r>
            <w:r>
              <w:rPr>
                <w:rFonts w:hint="eastAsia" w:ascii="宋体" w:hAnsi="宋体" w:cs="宋体"/>
                <w:szCs w:val="21"/>
              </w:rPr>
              <w:t>服务的要求。</w:t>
            </w:r>
          </w:p>
          <w:p>
            <w:pPr>
              <w:spacing w:line="280" w:lineRule="exact"/>
              <w:ind w:firstLine="48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监视测量设备：垃圾分类日常检查细则。</w:t>
            </w:r>
          </w:p>
          <w:p>
            <w:pPr>
              <w:spacing w:line="280" w:lineRule="exact"/>
              <w:ind w:firstLine="48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垃圾桶投放</w:t>
            </w:r>
            <w:r>
              <w:rPr>
                <w:rFonts w:hint="eastAsia" w:ascii="宋体" w:hAnsi="宋体" w:cs="宋体"/>
                <w:szCs w:val="21"/>
              </w:rPr>
              <w:t>人员经公司培训并确认合格上岗。</w:t>
            </w:r>
          </w:p>
          <w:p>
            <w:pPr>
              <w:spacing w:line="280" w:lineRule="exact"/>
              <w:ind w:firstLine="48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服务</w:t>
            </w:r>
            <w:r>
              <w:rPr>
                <w:rFonts w:hint="eastAsia" w:ascii="宋体" w:hAnsi="宋体" w:cs="宋体"/>
                <w:szCs w:val="21"/>
              </w:rPr>
              <w:t>过程依据合同约定，确定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服务</w:t>
            </w:r>
            <w:r>
              <w:rPr>
                <w:rFonts w:hint="eastAsia" w:ascii="宋体" w:hAnsi="宋体" w:cs="宋体"/>
                <w:szCs w:val="21"/>
              </w:rPr>
              <w:t>地点、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服务要求内容、</w:t>
            </w:r>
            <w:r>
              <w:rPr>
                <w:rFonts w:hint="eastAsia" w:ascii="宋体" w:hAnsi="宋体" w:cs="宋体"/>
                <w:szCs w:val="21"/>
              </w:rPr>
              <w:t>时间等信息</w:t>
            </w:r>
            <w:r>
              <w:rPr>
                <w:rFonts w:hint="eastAsia" w:ascii="宋体" w:hAnsi="宋体" w:cs="宋体"/>
                <w:szCs w:val="21"/>
                <w:lang w:eastAsia="zh-CN"/>
              </w:rPr>
              <w:t>，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制定</w:t>
            </w:r>
            <w:r>
              <w:rPr>
                <w:rFonts w:hint="eastAsia"/>
                <w:lang w:val="en-US" w:eastAsia="zh-CN"/>
              </w:rPr>
              <w:t>社区垃圾分类管理服务方案</w:t>
            </w:r>
            <w:r>
              <w:rPr>
                <w:rFonts w:hint="eastAsia" w:ascii="宋体" w:hAnsi="宋体" w:cs="宋体"/>
                <w:szCs w:val="21"/>
              </w:rPr>
              <w:t>；运营部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安排工作人员</w:t>
            </w:r>
            <w:r>
              <w:rPr>
                <w:rFonts w:hint="eastAsia" w:ascii="宋体" w:hAnsi="宋体" w:cs="宋体"/>
                <w:szCs w:val="21"/>
              </w:rPr>
              <w:t>，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每日定点投放垃圾桶、定时回收垃圾桶，对垃圾桶内垃圾进行简单分装</w:t>
            </w:r>
            <w:r>
              <w:rPr>
                <w:rFonts w:hint="eastAsia" w:ascii="宋体" w:hAnsi="宋体" w:cs="宋体"/>
                <w:szCs w:val="21"/>
              </w:rPr>
              <w:t>，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不定时对社区群众进行垃圾分类的知识宣传讲解，定期进行</w:t>
            </w:r>
            <w:r>
              <w:rPr>
                <w:rFonts w:hint="eastAsia"/>
                <w:lang w:val="en-US" w:eastAsia="zh-CN"/>
              </w:rPr>
              <w:t>督导检查，核实垃圾分类处理的完成程度，</w:t>
            </w:r>
            <w:r>
              <w:rPr>
                <w:rFonts w:hint="eastAsia" w:ascii="宋体" w:hAnsi="宋体" w:cs="宋体"/>
                <w:szCs w:val="21"/>
              </w:rPr>
              <w:t>流程结束</w:t>
            </w:r>
          </w:p>
          <w:p>
            <w:pPr>
              <w:spacing w:before="120" w:line="320" w:lineRule="exact"/>
              <w:ind w:firstLine="420" w:firstLineChars="20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通过发放小绿桶、一卡通，分类知识宣传、积分兑换 等活动，引导激励居民参与垃圾分类,让居民把家庭当中的生活垃圾按照四分类规则进行分类投放。</w:t>
            </w:r>
          </w:p>
          <w:p>
            <w:pPr>
              <w:pStyle w:val="11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查看《启迪城服（杭州）环境科技有限公司 宁税北苑 定点定时投放方案》：</w:t>
            </w:r>
          </w:p>
          <w:p>
            <w:pPr>
              <w:pStyle w:val="11"/>
              <w:numPr>
                <w:ilvl w:val="0"/>
                <w:numId w:val="2"/>
              </w:num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定时定点投放：早上七点开始投放，停 放 四 分 类 车</w:t>
            </w:r>
          </w:p>
          <w:p>
            <w:pPr>
              <w:pStyle w:val="11"/>
              <w:numPr>
                <w:ilvl w:val="0"/>
                <w:numId w:val="0"/>
              </w:numPr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3112135" cy="2432685"/>
                  <wp:effectExtent l="0" t="0" r="12065" b="5715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2135" cy="2432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942590" cy="2279650"/>
                  <wp:effectExtent l="0" t="0" r="3810" b="6350"/>
                  <wp:docPr id="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2590" cy="227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1"/>
              <w:numPr>
                <w:ilvl w:val="0"/>
                <w:numId w:val="2"/>
              </w:numPr>
              <w:ind w:left="0" w:leftChars="0" w:firstLine="0" w:firstLineChars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为了满足群众实际需求，设置误 时 投 放 点 宁 税 北 苑 将 设 置 1 个 误 时 投 放 点 。 误 时 投 放 点 放 置 智 能 无 人 值 守 设 备 。</w:t>
            </w:r>
          </w:p>
          <w:p>
            <w:pPr>
              <w:pStyle w:val="11"/>
              <w:numPr>
                <w:ilvl w:val="0"/>
                <w:numId w:val="0"/>
              </w:numPr>
              <w:ind w:leftChars="0"/>
            </w:pPr>
            <w:r>
              <w:drawing>
                <wp:inline distT="0" distB="0" distL="114300" distR="114300">
                  <wp:extent cx="4318000" cy="3638550"/>
                  <wp:effectExtent l="0" t="0" r="0" b="6350"/>
                  <wp:docPr id="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000" cy="363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1"/>
              <w:numPr>
                <w:ilvl w:val="0"/>
                <w:numId w:val="0"/>
              </w:numPr>
              <w:ind w:leftChars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宁 税 北 苑 的 智 能 无 人 值 守 设 备 具 有 ： 用 户 识 别 ， 自 动 破 袋 ， 消 毒 除 臭 ， 满 溢 报 警 ， 高 压 清 洗 ， 可 移 动 ， 拍 照 数 据 上 传 等 多 种 功 能 。</w:t>
            </w:r>
          </w:p>
          <w:p>
            <w:pPr>
              <w:pStyle w:val="11"/>
              <w:numPr>
                <w:ilvl w:val="0"/>
                <w:numId w:val="2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Cs w:val="0"/>
                <w:spacing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 w:val="0"/>
                <w:spacing w:val="0"/>
                <w:kern w:val="2"/>
                <w:sz w:val="21"/>
                <w:szCs w:val="21"/>
                <w:lang w:val="en-US" w:eastAsia="zh-CN" w:bidi="ar-SA"/>
              </w:rPr>
              <w:t>集置点改造成美观大方的集置房，安装紫外线消杀灯、灭蝇灯等装置，在集置点门口放置具有除臭功能 的 空调式净化设备，达到温控除臭一体化；同时在集置点上方空间布设净味植物等，进一步将垃圾集置点改造成无异味、高标准的垃圾集置房 。</w:t>
            </w:r>
          </w:p>
          <w:p>
            <w:pPr>
              <w:pStyle w:val="11"/>
              <w:numPr>
                <w:ilvl w:val="0"/>
                <w:numId w:val="2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Cs w:val="0"/>
                <w:spacing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 w:val="0"/>
                <w:spacing w:val="0"/>
                <w:kern w:val="2"/>
                <w:sz w:val="21"/>
                <w:szCs w:val="21"/>
                <w:lang w:val="en-US" w:eastAsia="zh-CN" w:bidi="ar-SA"/>
              </w:rPr>
              <w:t>针对居民用户开通智能一卡通，每张卡内置芯片和二维码，与 小绿桶芯片和住户门牌相互绑定，居民将分类好的可回收物和一卡通拿到定投点进行扫卡称重、 扫码称重，可回收物会产生相应的积分（积分根据可回收物的市场行情变动）。也可在微信公众号填写相关信息申请二维码</w:t>
            </w:r>
          </w:p>
          <w:p>
            <w:pPr>
              <w:pStyle w:val="11"/>
              <w:numPr>
                <w:ilvl w:val="0"/>
                <w:numId w:val="0"/>
              </w:numPr>
              <w:ind w:leftChars="0"/>
              <w:jc w:val="left"/>
              <w:rPr>
                <w:rFonts w:hint="eastAsia" w:ascii="宋体" w:hAnsi="宋体" w:eastAsia="宋体" w:cs="宋体"/>
                <w:bCs w:val="0"/>
                <w:spacing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 w:val="0"/>
                <w:spacing w:val="0"/>
                <w:kern w:val="2"/>
                <w:sz w:val="21"/>
                <w:szCs w:val="21"/>
                <w:lang w:val="en-US" w:eastAsia="zh-CN" w:bidi="ar-SA"/>
              </w:rPr>
              <w:drawing>
                <wp:inline distT="0" distB="0" distL="114300" distR="114300">
                  <wp:extent cx="2099945" cy="4502785"/>
                  <wp:effectExtent l="0" t="0" r="8255" b="5715"/>
                  <wp:docPr id="6" name="图片 6" descr="3c552b0b143d2afd830cffa20515c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3c552b0b143d2afd830cffa20515cec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3277" r="18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945" cy="450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Cs w:val="0"/>
                <w:spacing w:val="0"/>
                <w:kern w:val="2"/>
                <w:sz w:val="21"/>
                <w:szCs w:val="21"/>
                <w:lang w:val="en-US" w:eastAsia="zh-CN" w:bidi="ar-SA"/>
              </w:rPr>
              <w:drawing>
                <wp:inline distT="0" distB="0" distL="114300" distR="114300">
                  <wp:extent cx="2115820" cy="4803140"/>
                  <wp:effectExtent l="0" t="0" r="5080" b="10160"/>
                  <wp:docPr id="7" name="图片 7" descr="9d6e502db34424ac7540b96953803b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9d6e502db34424ac7540b96953803b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r="41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480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Cs w:val="0"/>
                <w:spacing w:val="0"/>
                <w:kern w:val="2"/>
                <w:sz w:val="21"/>
                <w:szCs w:val="21"/>
                <w:lang w:val="en-US" w:eastAsia="zh-CN" w:bidi="ar-SA"/>
              </w:rPr>
              <w:drawing>
                <wp:inline distT="0" distB="0" distL="114300" distR="114300">
                  <wp:extent cx="1910080" cy="4338955"/>
                  <wp:effectExtent l="0" t="0" r="7620" b="4445"/>
                  <wp:docPr id="8" name="图片 8" descr="50c02bb7b924de2c042ae68344688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50c02bb7b924de2c042ae68344688be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r="51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080" cy="4338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1"/>
              <w:numPr>
                <w:ilvl w:val="0"/>
                <w:numId w:val="0"/>
              </w:numPr>
              <w:ind w:leftChars="0"/>
              <w:rPr>
                <w:rFonts w:hint="default"/>
                <w:lang w:val="en-US" w:eastAsia="zh-CN"/>
              </w:rPr>
            </w:pPr>
          </w:p>
          <w:p>
            <w:pPr>
              <w:pStyle w:val="11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居民使用申请生成的二维码或者发放的一卡通，到四分类秤进行垃圾分类投放，四分类秤具有自动拍照、二维码扫码、 人脸识别、智能门禁卡扫码功能，经过城管局封装后，称重数据实时上传至政府大数据平台</w:t>
            </w:r>
          </w:p>
          <w:p>
            <w:pPr>
              <w:pStyle w:val="11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查用户使用界面信息</w:t>
            </w:r>
          </w:p>
          <w:p>
            <w:pPr>
              <w:pStyle w:val="11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4519295" cy="3388995"/>
                  <wp:effectExtent l="0" t="0" r="1905" b="1905"/>
                  <wp:docPr id="9" name="图片 9" descr="f8997e4f2c90de2c556b777e15d63c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f8997e4f2c90de2c556b777e15d63cb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9295" cy="3388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120" w:line="320" w:lineRule="exact"/>
              <w:ind w:firstLine="420" w:firstLineChars="20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针对垃圾进行分类（纸类、塑料、织物、玻璃、金属）如上图</w:t>
            </w:r>
          </w:p>
          <w:p>
            <w:pPr>
              <w:pStyle w:val="11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6209030" cy="4156710"/>
                  <wp:effectExtent l="0" t="0" r="1270" b="8890"/>
                  <wp:docPr id="10" name="图片 10" descr="cdc90e9bd7b7db642ccdd122a609c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dc90e9bd7b7db642ccdd122a609c0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b="107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9030" cy="4156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120"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四分类秤识别垃圾种类与重量，如上图</w:t>
            </w:r>
          </w:p>
          <w:p>
            <w:pPr>
              <w:pStyle w:val="11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6207760" cy="4220845"/>
                  <wp:effectExtent l="0" t="0" r="2540" b="8255"/>
                  <wp:docPr id="11" name="图片 11" descr="b5f885d21249635b63b9167ef73ec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b5f885d21249635b63b9167ef73ec4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7760" cy="4220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1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对投放的垃圾进行拍照确认，如上图</w:t>
            </w:r>
          </w:p>
          <w:p>
            <w:pPr>
              <w:pStyle w:val="11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2974340</wp:posOffset>
                  </wp:positionV>
                  <wp:extent cx="5280660" cy="2258060"/>
                  <wp:effectExtent l="0" t="0" r="2540" b="2540"/>
                  <wp:wrapNone/>
                  <wp:docPr id="13" name="图片 13" descr="a7d29c404da1ab164bf97a28a548fd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a7d29c404da1ab164bf97a28a548fdd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0660" cy="2258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6209030" cy="2822575"/>
                  <wp:effectExtent l="0" t="0" r="1270" b="9525"/>
                  <wp:docPr id="12" name="图片 12" descr="1f84aa6d3fca2d483d83dc6b17f42f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1f84aa6d3fca2d483d83dc6b17f42f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6818" b="325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9030" cy="282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120" w:line="320" w:lineRule="exact"/>
              <w:ind w:firstLine="420" w:firstLineChars="200"/>
              <w:rPr>
                <w:rFonts w:hint="eastAsia"/>
                <w:lang w:val="en-US" w:eastAsia="zh-CN"/>
              </w:rPr>
            </w:pPr>
          </w:p>
          <w:p>
            <w:pPr>
              <w:spacing w:before="120" w:line="320" w:lineRule="exact"/>
              <w:ind w:firstLine="420" w:firstLineChars="200"/>
              <w:rPr>
                <w:rFonts w:hint="eastAsia"/>
                <w:lang w:val="en-US" w:eastAsia="zh-CN"/>
              </w:rPr>
            </w:pPr>
          </w:p>
          <w:p>
            <w:pPr>
              <w:spacing w:before="120" w:line="320" w:lineRule="exact"/>
              <w:ind w:firstLine="420" w:firstLineChars="200"/>
              <w:rPr>
                <w:rFonts w:hint="eastAsia"/>
                <w:lang w:val="en-US" w:eastAsia="zh-CN"/>
              </w:rPr>
            </w:pPr>
          </w:p>
          <w:p>
            <w:pPr>
              <w:spacing w:before="120" w:line="320" w:lineRule="exact"/>
              <w:ind w:firstLine="420" w:firstLineChars="200"/>
              <w:rPr>
                <w:rFonts w:hint="eastAsia"/>
                <w:lang w:val="en-US" w:eastAsia="zh-CN"/>
              </w:rPr>
            </w:pPr>
          </w:p>
          <w:p>
            <w:pPr>
              <w:spacing w:before="120" w:line="320" w:lineRule="exact"/>
              <w:ind w:firstLine="420" w:firstLineChars="200"/>
              <w:rPr>
                <w:rFonts w:hint="eastAsia"/>
                <w:lang w:val="en-US" w:eastAsia="zh-CN"/>
              </w:rPr>
            </w:pPr>
          </w:p>
          <w:p>
            <w:pPr>
              <w:spacing w:before="120" w:line="320" w:lineRule="exact"/>
              <w:ind w:firstLine="420" w:firstLineChars="200"/>
              <w:rPr>
                <w:rFonts w:hint="eastAsia"/>
                <w:lang w:val="en-US" w:eastAsia="zh-CN"/>
              </w:rPr>
            </w:pPr>
          </w:p>
          <w:p>
            <w:pPr>
              <w:spacing w:before="120" w:line="320" w:lineRule="exact"/>
              <w:ind w:firstLine="420" w:firstLineChars="200"/>
              <w:rPr>
                <w:rFonts w:hint="eastAsia"/>
                <w:lang w:val="en-US" w:eastAsia="zh-CN"/>
              </w:rPr>
            </w:pPr>
          </w:p>
          <w:p>
            <w:pPr>
              <w:spacing w:before="120" w:line="320" w:lineRule="exact"/>
              <w:ind w:firstLine="420" w:firstLineChars="200"/>
              <w:rPr>
                <w:rFonts w:hint="eastAsia"/>
                <w:lang w:val="en-US" w:eastAsia="zh-CN"/>
              </w:rPr>
            </w:pPr>
          </w:p>
          <w:p>
            <w:pPr>
              <w:spacing w:before="120"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称重数据实时上传至政府大数据平台，可读取投放垃圾的信息和照片，称重计量每家每户产生的垃圾，快速汇总每天产生的垃圾总量， 给政府提供决策依据；分类数据上传至终端云平台，通过数据分析，可筛选出分类错误或未参与、少参与的家 庭，从而精准上门宣传，同时起到定投督导的作用。</w:t>
            </w:r>
          </w:p>
          <w:p>
            <w:pPr>
              <w:pStyle w:val="11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查看宣传单和教育现场证据照片：</w:t>
            </w:r>
          </w:p>
          <w:p>
            <w:pPr>
              <w:pStyle w:val="11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3125470" cy="4419600"/>
                  <wp:effectExtent l="0" t="0" r="11430" b="0"/>
                  <wp:docPr id="14" name="图片 14" descr="f1188445349d30f8e4b16d01ee50b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f1188445349d30f8e4b16d01ee50b8b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470" cy="441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1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080000" cy="3810000"/>
                  <wp:effectExtent l="0" t="0" r="0" b="0"/>
                  <wp:docPr id="15" name="图片 15" descr="微信图片_20210926101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微信图片_2021092610161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120" w:line="320" w:lineRule="exact"/>
              <w:ind w:firstLine="420" w:firstLineChars="20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宣传的方式：1、面对面的沟通 ，宣传效果更亲切；2、当面答疑解惑，宣传效果更深入 ； 3、 逐一上门，遗漏少，宣传人群更多 。</w:t>
            </w:r>
          </w:p>
          <w:p>
            <w:pPr>
              <w:spacing w:before="120" w:line="320" w:lineRule="exact"/>
              <w:ind w:firstLine="420" w:firstLineChars="200"/>
              <w:rPr>
                <w:rFonts w:hint="default"/>
                <w:lang w:val="en-US" w:eastAsia="zh-CN"/>
              </w:rPr>
            </w:pPr>
          </w:p>
          <w:p>
            <w:pPr>
              <w:spacing w:before="120" w:line="320" w:lineRule="exact"/>
              <w:ind w:firstLine="420" w:firstLineChars="200"/>
              <w:rPr>
                <w:rFonts w:hint="eastAsia" w:ascii="楷体" w:hAnsi="楷体" w:eastAsia="楷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社区垃圾分</w:t>
            </w:r>
            <w:r>
              <w:rPr>
                <w:rFonts w:hint="eastAsia" w:ascii="Times New Roman" w:hAnsi="Times New Roman" w:eastAsia="宋体" w:cs="Times New Roman"/>
                <w:lang w:val="en-US" w:eastAsia="zh-CN"/>
              </w:rPr>
              <w:t>类管理服务过程检验活动包括原材料检验、服务过程中开展的垃圾分类宣导和教育培训的记录、服务完成度检，符合要求。原材料、过程和最终服务完成度的监视和测量记录见 Q8.6 审核记录</w:t>
            </w:r>
            <w:r>
              <w:rPr>
                <w:rFonts w:hint="eastAsia" w:ascii="楷体" w:hAnsi="楷体" w:eastAsia="楷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  <w:t>。</w:t>
            </w:r>
          </w:p>
          <w:p>
            <w:pPr>
              <w:spacing w:before="120" w:line="320" w:lineRule="exact"/>
              <w:rPr>
                <w:rFonts w:hint="eastAsia" w:ascii="楷体" w:hAnsi="楷体" w:eastAsia="楷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  <w:t xml:space="preserve">   </w:t>
            </w:r>
          </w:p>
          <w:p>
            <w:pPr>
              <w:spacing w:line="280" w:lineRule="exact"/>
              <w:ind w:firstLine="480"/>
              <w:rPr>
                <w:rFonts w:ascii="宋体" w:hAnsi="宋体" w:cs="宋体"/>
                <w:szCs w:val="21"/>
              </w:rPr>
            </w:pPr>
          </w:p>
        </w:tc>
        <w:tc>
          <w:tcPr>
            <w:tcW w:w="1585" w:type="dxa"/>
          </w:tcPr>
          <w:p>
            <w:r>
              <w:rPr>
                <w:rFonts w:hint="eastAsia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1" w:hRule="atLeast"/>
        </w:trPr>
        <w:tc>
          <w:tcPr>
            <w:tcW w:w="2160" w:type="dxa"/>
          </w:tcPr>
          <w:p>
            <w:pPr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产品标识和可追朔性</w:t>
            </w:r>
          </w:p>
        </w:tc>
        <w:tc>
          <w:tcPr>
            <w:tcW w:w="960" w:type="dxa"/>
          </w:tcPr>
          <w:p>
            <w:pPr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QMS</w:t>
            </w:r>
          </w:p>
          <w:p>
            <w:pPr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 xml:space="preserve">8.5.2 </w:t>
            </w:r>
          </w:p>
        </w:tc>
        <w:tc>
          <w:tcPr>
            <w:tcW w:w="10004" w:type="dxa"/>
          </w:tcPr>
          <w:p>
            <w:pPr>
              <w:spacing w:line="280" w:lineRule="exact"/>
              <w:ind w:firstLine="421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公司物品分</w:t>
            </w:r>
            <w:r>
              <w:rPr>
                <w:rFonts w:hint="eastAsia"/>
                <w:color w:val="000000"/>
                <w:szCs w:val="21"/>
              </w:rPr>
              <w:t>金属类、纸类、塑料类、纺织类、玻璃类和其他类</w:t>
            </w:r>
            <w:r>
              <w:rPr>
                <w:rFonts w:hint="eastAsia" w:ascii="宋体" w:hAnsi="宋体" w:cs="宋体"/>
                <w:szCs w:val="21"/>
              </w:rPr>
              <w:t>六类进行标识，在智能管理系统中，回收端有订单号唯一标识，可追朔到社区。分拣有流水号唯一标识，系统中有品类、重量等可追朔民信息。</w:t>
            </w:r>
          </w:p>
        </w:tc>
        <w:tc>
          <w:tcPr>
            <w:tcW w:w="1585" w:type="dxa"/>
          </w:tcPr>
          <w:p>
            <w:r>
              <w:rPr>
                <w:rFonts w:hint="eastAsia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1" w:hRule="atLeast"/>
        </w:trPr>
        <w:tc>
          <w:tcPr>
            <w:tcW w:w="2160" w:type="dxa"/>
          </w:tcPr>
          <w:p>
            <w:pPr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顾客或外部供方的财产</w:t>
            </w:r>
          </w:p>
        </w:tc>
        <w:tc>
          <w:tcPr>
            <w:tcW w:w="960" w:type="dxa"/>
          </w:tcPr>
          <w:p>
            <w:pPr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QMS</w:t>
            </w:r>
          </w:p>
          <w:p>
            <w:pPr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8.5.3</w:t>
            </w:r>
          </w:p>
        </w:tc>
        <w:tc>
          <w:tcPr>
            <w:tcW w:w="10004" w:type="dxa"/>
          </w:tcPr>
          <w:p>
            <w:pPr>
              <w:spacing w:line="280" w:lineRule="exact"/>
              <w:ind w:firstLine="420" w:firstLineChars="20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顾客或外部供方的财产包括：资质证明文件、银行账号、联系方式、经营地址及档案资料等信息，由部门专门人员负责管理，分类登记放置。未发生损坏丢失等现象。</w:t>
            </w:r>
          </w:p>
        </w:tc>
        <w:tc>
          <w:tcPr>
            <w:tcW w:w="1585" w:type="dxa"/>
          </w:tcPr>
          <w:p>
            <w:r>
              <w:rPr>
                <w:rFonts w:hint="eastAsia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1" w:hRule="atLeast"/>
        </w:trPr>
        <w:tc>
          <w:tcPr>
            <w:tcW w:w="2160" w:type="dxa"/>
          </w:tcPr>
          <w:p>
            <w:pPr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产品防护</w:t>
            </w:r>
          </w:p>
        </w:tc>
        <w:tc>
          <w:tcPr>
            <w:tcW w:w="960" w:type="dxa"/>
          </w:tcPr>
          <w:p>
            <w:pPr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QMS</w:t>
            </w:r>
          </w:p>
          <w:p>
            <w:pPr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8.5.4</w:t>
            </w:r>
          </w:p>
        </w:tc>
        <w:tc>
          <w:tcPr>
            <w:tcW w:w="10004" w:type="dxa"/>
          </w:tcPr>
          <w:p>
            <w:pPr>
              <w:spacing w:line="280" w:lineRule="exact"/>
              <w:ind w:firstLine="48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公司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完成垃圾分类后</w:t>
            </w:r>
            <w:r>
              <w:rPr>
                <w:rFonts w:hint="eastAsia" w:ascii="宋体" w:hAnsi="宋体" w:cs="宋体"/>
                <w:szCs w:val="21"/>
              </w:rPr>
              <w:t>，按品类分别存放，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不可回收利用的垃圾由环卫直接运走</w:t>
            </w:r>
            <w:r>
              <w:rPr>
                <w:rFonts w:hint="eastAsia" w:ascii="宋体" w:hAnsi="宋体" w:cs="宋体"/>
                <w:szCs w:val="21"/>
              </w:rPr>
              <w:t>，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可回收利用的由公司内部</w:t>
            </w:r>
            <w:r>
              <w:rPr>
                <w:rFonts w:hint="eastAsia" w:ascii="宋体" w:hAnsi="宋体" w:cs="宋体"/>
                <w:szCs w:val="21"/>
              </w:rPr>
              <w:t>装车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运回公司分拣点，处理保存</w:t>
            </w:r>
            <w:r>
              <w:rPr>
                <w:rFonts w:hint="eastAsia" w:ascii="宋体" w:hAnsi="宋体" w:cs="宋体"/>
                <w:szCs w:val="21"/>
              </w:rPr>
              <w:t>。</w:t>
            </w:r>
          </w:p>
          <w:p>
            <w:pPr>
              <w:spacing w:line="280" w:lineRule="exact"/>
              <w:ind w:firstLine="480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产品防护基本有序。</w:t>
            </w:r>
          </w:p>
        </w:tc>
        <w:tc>
          <w:tcPr>
            <w:tcW w:w="1585" w:type="dxa"/>
          </w:tcPr>
          <w:p>
            <w:r>
              <w:rPr>
                <w:rFonts w:hint="eastAsia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1" w:hRule="atLeast"/>
        </w:trPr>
        <w:tc>
          <w:tcPr>
            <w:tcW w:w="2160" w:type="dxa"/>
          </w:tcPr>
          <w:p>
            <w:pPr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交付后的活动</w:t>
            </w:r>
          </w:p>
        </w:tc>
        <w:tc>
          <w:tcPr>
            <w:tcW w:w="960" w:type="dxa"/>
          </w:tcPr>
          <w:p>
            <w:pPr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QMS</w:t>
            </w:r>
          </w:p>
          <w:p>
            <w:pPr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 xml:space="preserve">8.5.5 </w:t>
            </w:r>
          </w:p>
        </w:tc>
        <w:tc>
          <w:tcPr>
            <w:tcW w:w="10004" w:type="dxa"/>
          </w:tcPr>
          <w:p>
            <w:pPr>
              <w:spacing w:line="280" w:lineRule="exact"/>
              <w:ind w:firstLine="420" w:firstLineChars="200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val="en-US" w:eastAsia="zh-CN"/>
              </w:rPr>
              <w:t>针对垃圾分类的现场员工</w:t>
            </w:r>
            <w:r>
              <w:rPr>
                <w:rFonts w:hint="eastAsia"/>
                <w:color w:val="000000"/>
                <w:szCs w:val="21"/>
              </w:rPr>
              <w:t>进行培训，内容涉及</w:t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积分</w:t>
            </w:r>
            <w:r>
              <w:rPr>
                <w:rFonts w:hint="eastAsia"/>
                <w:color w:val="000000"/>
                <w:szCs w:val="21"/>
              </w:rPr>
              <w:t>结算、</w:t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指导试用社保</w:t>
            </w:r>
            <w:r>
              <w:rPr>
                <w:rFonts w:hint="eastAsia"/>
                <w:color w:val="000000"/>
                <w:szCs w:val="21"/>
              </w:rPr>
              <w:t>、投诉等。如客户在使用过程中出现问题，先通过电话进行解决，如远程无法解决，派专人到客户现场实地解决。</w:t>
            </w:r>
          </w:p>
        </w:tc>
        <w:tc>
          <w:tcPr>
            <w:tcW w:w="1585" w:type="dxa"/>
          </w:tcPr>
          <w:p>
            <w:r>
              <w:rPr>
                <w:rFonts w:hint="eastAsia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1" w:hRule="atLeast"/>
        </w:trPr>
        <w:tc>
          <w:tcPr>
            <w:tcW w:w="2160" w:type="dxa"/>
          </w:tcPr>
          <w:p>
            <w:pPr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生产和服务提供的更改控制</w:t>
            </w:r>
          </w:p>
        </w:tc>
        <w:tc>
          <w:tcPr>
            <w:tcW w:w="960" w:type="dxa"/>
          </w:tcPr>
          <w:p>
            <w:pPr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QMS</w:t>
            </w:r>
          </w:p>
          <w:p>
            <w:pPr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8.5.6</w:t>
            </w:r>
          </w:p>
        </w:tc>
        <w:tc>
          <w:tcPr>
            <w:tcW w:w="10004" w:type="dxa"/>
          </w:tcPr>
          <w:p>
            <w:pPr>
              <w:spacing w:line="280" w:lineRule="exact"/>
              <w:ind w:firstLine="480"/>
              <w:rPr>
                <w:color w:val="000000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暂无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垃圾分类</w:t>
            </w:r>
            <w:r>
              <w:rPr>
                <w:rFonts w:hint="eastAsia" w:ascii="宋体" w:hAnsi="宋体" w:cs="宋体"/>
                <w:szCs w:val="21"/>
              </w:rPr>
              <w:t>服务更改。</w:t>
            </w:r>
          </w:p>
        </w:tc>
        <w:tc>
          <w:tcPr>
            <w:tcW w:w="1585" w:type="dxa"/>
          </w:tcPr>
          <w:p>
            <w:r>
              <w:rPr>
                <w:rFonts w:hint="eastAsia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7" w:hRule="atLeast"/>
        </w:trPr>
        <w:tc>
          <w:tcPr>
            <w:tcW w:w="2160" w:type="dxa"/>
          </w:tcPr>
          <w:p>
            <w:pPr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服务放行</w:t>
            </w:r>
          </w:p>
        </w:tc>
        <w:tc>
          <w:tcPr>
            <w:tcW w:w="960" w:type="dxa"/>
          </w:tcPr>
          <w:p>
            <w:pPr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QMS:</w:t>
            </w:r>
          </w:p>
          <w:p>
            <w:pPr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 xml:space="preserve">8.6 </w:t>
            </w:r>
          </w:p>
        </w:tc>
        <w:tc>
          <w:tcPr>
            <w:tcW w:w="10004" w:type="dxa"/>
            <w:vAlign w:val="center"/>
          </w:tcPr>
          <w:p>
            <w:pPr>
              <w:spacing w:line="280" w:lineRule="exact"/>
              <w:ind w:firstLine="420" w:firstLineChars="20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公司采购产品主要为小区内垃圾分类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使用的垃圾桶及办公用品</w:t>
            </w:r>
            <w:r>
              <w:rPr>
                <w:rFonts w:hint="eastAsia" w:ascii="宋体" w:hAnsi="宋体" w:cs="宋体"/>
                <w:szCs w:val="21"/>
              </w:rPr>
              <w:t>。</w:t>
            </w:r>
          </w:p>
          <w:p>
            <w:pPr>
              <w:spacing w:line="280" w:lineRule="exact"/>
              <w:ind w:firstLine="420" w:firstLineChars="200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采购过程放行：</w:t>
            </w:r>
          </w:p>
          <w:p>
            <w:pPr>
              <w:pStyle w:val="4"/>
              <w:ind w:firstLine="481"/>
              <w:jc w:val="both"/>
              <w:rPr>
                <w:rFonts w:hint="eastAsia" w:eastAsia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依据</w:t>
            </w:r>
            <w:r>
              <w:rPr>
                <w:rFonts w:hint="eastAsia"/>
                <w:color w:val="000000"/>
                <w:szCs w:val="21"/>
              </w:rPr>
              <w:t>DB33/T 1166-2019《城镇生活垃圾分类标准》</w:t>
            </w:r>
            <w:r>
              <w:rPr>
                <w:rFonts w:hint="eastAsia" w:eastAsia="宋体"/>
                <w:color w:val="000000"/>
                <w:szCs w:val="21"/>
                <w:lang w:eastAsia="zh-CN"/>
              </w:rPr>
              <w:t>，</w:t>
            </w:r>
            <w:r>
              <w:rPr>
                <w:rFonts w:hint="eastAsia" w:eastAsia="宋体"/>
                <w:color w:val="000000"/>
                <w:szCs w:val="21"/>
                <w:lang w:val="en-US" w:eastAsia="zh-CN"/>
              </w:rPr>
              <w:t>采购合适的垃圾桶，依据服务合同要求定点定时投放到各个小区。</w:t>
            </w:r>
          </w:p>
          <w:p>
            <w:pPr>
              <w:pStyle w:val="4"/>
              <w:ind w:firstLine="481"/>
              <w:jc w:val="both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品质验收主要为目测</w:t>
            </w:r>
            <w:r>
              <w:rPr>
                <w:rFonts w:hint="eastAsia" w:eastAsia="宋体"/>
                <w:color w:val="000000"/>
                <w:szCs w:val="21"/>
                <w:lang w:val="en-US" w:eastAsia="zh-CN"/>
              </w:rPr>
              <w:t>数量</w:t>
            </w:r>
            <w:r>
              <w:rPr>
                <w:rFonts w:hint="eastAsia"/>
                <w:color w:val="000000"/>
                <w:szCs w:val="21"/>
              </w:rPr>
              <w:t>和</w:t>
            </w:r>
            <w:r>
              <w:rPr>
                <w:rFonts w:hint="eastAsia" w:eastAsia="宋体"/>
                <w:color w:val="000000"/>
                <w:szCs w:val="21"/>
                <w:lang w:val="en-US" w:eastAsia="zh-CN"/>
              </w:rPr>
              <w:t>型号</w:t>
            </w:r>
            <w:r>
              <w:rPr>
                <w:rFonts w:hint="eastAsia"/>
                <w:color w:val="000000"/>
                <w:szCs w:val="21"/>
              </w:rPr>
              <w:t>。</w:t>
            </w:r>
          </w:p>
          <w:p>
            <w:pPr>
              <w:rPr>
                <w:rFonts w:hint="eastAsia"/>
                <w:color w:val="000000"/>
                <w:szCs w:val="21"/>
                <w:lang w:val="en-US" w:eastAsia="zh-CN"/>
              </w:rPr>
            </w:pPr>
            <w:r>
              <w:rPr>
                <w:rFonts w:hint="eastAsia"/>
                <w:color w:val="000000"/>
                <w:szCs w:val="21"/>
                <w:lang w:val="en-US" w:eastAsia="zh-CN"/>
              </w:rPr>
              <w:t>查看原材料检验记录：2021年4月8号采购垃圾桶（120L）*40个、垃圾桶（50L）*200个、垃圾桶轮子等，分别对数量、规格、颜色等进行验证，试用后合格。</w:t>
            </w:r>
          </w:p>
          <w:p>
            <w:pPr>
              <w:pStyle w:val="11"/>
              <w:rPr>
                <w:rFonts w:hint="default"/>
                <w:lang w:val="en-US" w:eastAsia="zh-CN"/>
              </w:rPr>
            </w:pPr>
            <w:r>
              <w:rPr>
                <w:rFonts w:hint="eastAsia"/>
                <w:color w:val="000000"/>
                <w:szCs w:val="21"/>
                <w:lang w:val="en-US" w:eastAsia="zh-CN"/>
              </w:rPr>
              <w:t>2021年XXX采购电脑主机4台，分别对数量、规格等进行验证，试用后合格。</w:t>
            </w:r>
          </w:p>
          <w:p>
            <w:pPr>
              <w:spacing w:line="280" w:lineRule="exact"/>
              <w:ind w:firstLine="400" w:firstLineChars="200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sz w:val="20"/>
              </w:rPr>
              <w:t>城市生活垃圾分类</w:t>
            </w:r>
            <w:r>
              <w:rPr>
                <w:rFonts w:hint="eastAsia" w:ascii="宋体" w:hAnsi="宋体" w:cs="宋体"/>
                <w:szCs w:val="21"/>
              </w:rPr>
              <w:t>由作业人员直接完成</w:t>
            </w:r>
            <w:r>
              <w:rPr>
                <w:rFonts w:hint="eastAsia" w:ascii="宋体" w:hAnsi="宋体" w:cs="宋体"/>
                <w:szCs w:val="21"/>
                <w:lang w:eastAsia="zh-CN"/>
              </w:rPr>
              <w:t>，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对垃圾分类工作进行考评，查看《垃圾分类第三方服务单位月度检查细则》</w:t>
            </w:r>
          </w:p>
          <w:p>
            <w:pPr>
              <w:spacing w:line="280" w:lineRule="exact"/>
              <w:ind w:firstLine="420" w:firstLineChars="200"/>
              <w:rPr>
                <w:rFonts w:hint="eastAsia"/>
                <w:color w:val="000000"/>
                <w:szCs w:val="21"/>
                <w:lang w:val="en-US" w:eastAsia="zh-CN"/>
              </w:rPr>
            </w:pPr>
            <w:r>
              <w:rPr>
                <w:rFonts w:hint="eastAsia"/>
                <w:color w:val="000000"/>
                <w:szCs w:val="21"/>
                <w:lang w:val="en-US" w:eastAsia="zh-CN"/>
              </w:rPr>
              <w:t>抽：2021年7月，宁牧小区考核记录，被考核单位：宁国运营团队，针对工作机制、居民参与率与数据真实性、投放准确率、标志标识情况、设施设备保洁与管理等等，共11项进行评分，考核总分：88分，合格</w:t>
            </w:r>
          </w:p>
          <w:p>
            <w:pPr>
              <w:spacing w:line="280" w:lineRule="exact"/>
              <w:ind w:firstLine="420" w:firstLineChars="200"/>
              <w:rPr>
                <w:rFonts w:hint="default"/>
                <w:color w:val="000000"/>
                <w:szCs w:val="21"/>
                <w:lang w:val="en-US" w:eastAsia="zh-CN"/>
              </w:rPr>
            </w:pPr>
            <w:r>
              <w:rPr>
                <w:rFonts w:hint="eastAsia"/>
                <w:color w:val="000000"/>
                <w:szCs w:val="21"/>
                <w:lang w:val="en-US" w:eastAsia="zh-CN"/>
              </w:rPr>
              <w:t>抽：2021年6月，宁税小区考核记录，被考核单位：宁国运营团队，针对工作机制、居民参与率与数据真实性、投放准确率、标志标识情况、设施设备保洁与管理等等，共11项进行评分，考核总分：92分，合格</w:t>
            </w:r>
          </w:p>
          <w:p>
            <w:pPr>
              <w:spacing w:line="280" w:lineRule="exact"/>
              <w:ind w:firstLine="420" w:firstLineChars="200"/>
              <w:rPr>
                <w:rFonts w:hint="default"/>
                <w:color w:val="000000"/>
                <w:szCs w:val="21"/>
                <w:lang w:val="en-US" w:eastAsia="zh-CN"/>
              </w:rPr>
            </w:pPr>
            <w:r>
              <w:rPr>
                <w:rFonts w:hint="eastAsia"/>
                <w:color w:val="000000"/>
                <w:szCs w:val="21"/>
                <w:lang w:val="en-US" w:eastAsia="zh-CN"/>
              </w:rPr>
              <w:t>抽：2021年7月，崇化住宅区考核记录，被考核单位：城厢运营团队，针对工作机制、居民参与率与数据真实性、投放准确率、标志标识情况、设施设备保洁与管理等等，共11项进行评分，考核总分：90分，合格</w:t>
            </w:r>
          </w:p>
          <w:p>
            <w:pPr>
              <w:pStyle w:val="2"/>
              <w:rPr>
                <w:rFonts w:hint="default"/>
                <w:lang w:val="en-US" w:eastAsia="zh-CN"/>
              </w:rPr>
            </w:pPr>
          </w:p>
          <w:p>
            <w:pPr>
              <w:pStyle w:val="2"/>
              <w:ind w:left="0" w:leftChars="0" w:firstLine="210" w:firstLineChars="100"/>
              <w:rPr>
                <w:rFonts w:hint="eastAsia" w:cs="Times New Roman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2"/>
                <w:sz w:val="21"/>
                <w:szCs w:val="21"/>
                <w:lang w:val="en-US" w:eastAsia="zh-CN" w:bidi="ar-SA"/>
              </w:rPr>
              <w:t>针对宣传垃圾分类知识</w:t>
            </w:r>
            <w:r>
              <w:rPr>
                <w:rFonts w:hint="eastAsia" w:cs="Times New Roman"/>
                <w:color w:val="000000"/>
                <w:kern w:val="2"/>
                <w:sz w:val="21"/>
                <w:szCs w:val="21"/>
                <w:lang w:val="en-US" w:eastAsia="zh-CN" w:bidi="ar-SA"/>
              </w:rPr>
              <w:t>，每期宣传教育结束后，对现场居民进行调查问卷，确定培训效果：</w:t>
            </w:r>
          </w:p>
          <w:p>
            <w:pPr>
              <w:pStyle w:val="2"/>
              <w:ind w:left="0" w:leftChars="0" w:firstLine="210" w:firstLineChars="100"/>
              <w:rPr>
                <w:rFonts w:hint="eastAsia" w:cs="Times New Roman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color w:val="000000"/>
                <w:kern w:val="2"/>
                <w:sz w:val="21"/>
                <w:szCs w:val="21"/>
                <w:lang w:val="en-US" w:eastAsia="zh-CN" w:bidi="ar-SA"/>
              </w:rPr>
              <w:t>抽：宁税北苑《关于“垃圾分类”实施效果调查问卷》，调查结果：居民对垃圾分类持有支持态度，愿意积极配合对生活垃圾进行分类，知到如何进行垃圾分类等</w:t>
            </w:r>
          </w:p>
          <w:p>
            <w:pPr>
              <w:pStyle w:val="2"/>
              <w:ind w:left="0" w:leftChars="0" w:firstLine="210" w:firstLineChars="100"/>
              <w:rPr>
                <w:rFonts w:hint="default" w:cs="Times New Roman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cs="Times New Roman"/>
                <w:color w:val="000000"/>
                <w:kern w:val="2"/>
                <w:sz w:val="21"/>
                <w:szCs w:val="21"/>
                <w:lang w:val="en-US" w:eastAsia="zh-CN" w:bidi="ar-SA"/>
              </w:rPr>
              <w:drawing>
                <wp:inline distT="0" distB="0" distL="114300" distR="114300">
                  <wp:extent cx="2684145" cy="5535295"/>
                  <wp:effectExtent l="0" t="0" r="8255" b="1905"/>
                  <wp:docPr id="20" name="图片 20" descr="a58aa86f0cd005343dc5fff07729d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a58aa86f0cd005343dc5fff07729d6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4145" cy="5535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cs="Times New Roman"/>
                <w:color w:val="000000"/>
                <w:kern w:val="2"/>
                <w:sz w:val="21"/>
                <w:szCs w:val="21"/>
                <w:lang w:val="en-US" w:eastAsia="zh-CN" w:bidi="ar-SA"/>
              </w:rPr>
              <w:drawing>
                <wp:inline distT="0" distB="0" distL="114300" distR="114300">
                  <wp:extent cx="2684145" cy="5535295"/>
                  <wp:effectExtent l="0" t="0" r="8255" b="1905"/>
                  <wp:docPr id="21" name="图片 21" descr="7db3458eb1af36759a39655c530bd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7db3458eb1af36759a39655c530bd8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4145" cy="5535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1"/>
              <w:rPr>
                <w:rFonts w:hint="eastAsia"/>
                <w:color w:val="000000"/>
                <w:szCs w:val="21"/>
                <w:lang w:val="en-US" w:eastAsia="zh-CN"/>
              </w:rPr>
            </w:pPr>
            <w:r>
              <w:rPr>
                <w:rFonts w:hint="eastAsia"/>
                <w:color w:val="000000"/>
                <w:szCs w:val="21"/>
                <w:lang w:val="en-US" w:eastAsia="zh-CN"/>
              </w:rPr>
              <w:t xml:space="preserve">   企业定期对小区居民进行服务满意度调查，针对公司垃圾分类管理工作的满意度</w:t>
            </w:r>
          </w:p>
          <w:p>
            <w:pPr>
              <w:pStyle w:val="11"/>
              <w:rPr>
                <w:rFonts w:hint="default"/>
                <w:color w:val="000000"/>
                <w:szCs w:val="21"/>
                <w:lang w:val="en-US" w:eastAsia="zh-CN"/>
              </w:rPr>
            </w:pPr>
            <w:r>
              <w:rPr>
                <w:rFonts w:hint="default"/>
                <w:color w:val="000000"/>
                <w:szCs w:val="21"/>
                <w:lang w:val="en-US" w:eastAsia="zh-CN"/>
              </w:rPr>
              <w:drawing>
                <wp:inline distT="0" distB="0" distL="114300" distR="114300">
                  <wp:extent cx="2303145" cy="5535295"/>
                  <wp:effectExtent l="0" t="0" r="8255" b="1905"/>
                  <wp:docPr id="22" name="图片 22" descr="992b6c689f71f7166ad7b3c7532a0c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992b6c689f71f7166ad7b3c7532a0c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145" cy="5535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color w:val="000000"/>
                <w:szCs w:val="21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4475480</wp:posOffset>
                  </wp:positionH>
                  <wp:positionV relativeFrom="paragraph">
                    <wp:posOffset>5080</wp:posOffset>
                  </wp:positionV>
                  <wp:extent cx="1739900" cy="5535295"/>
                  <wp:effectExtent l="0" t="0" r="0" b="1905"/>
                  <wp:wrapNone/>
                  <wp:docPr id="23" name="图片 23" descr="7ba43dc00929c4f8553e84196d0e9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7ba43dc00929c4f8553e84196d0e9ca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r="94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900" cy="5535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/>
                <w:color w:val="000000"/>
                <w:szCs w:val="21"/>
                <w:lang w:val="en-US" w:eastAsia="zh-CN"/>
              </w:rPr>
              <w:drawing>
                <wp:inline distT="0" distB="0" distL="114300" distR="114300">
                  <wp:extent cx="2287270" cy="4590415"/>
                  <wp:effectExtent l="0" t="0" r="11430" b="6985"/>
                  <wp:docPr id="24" name="图片 24" descr="48e04cddd20d73ebca25a325bbcafb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48e04cddd20d73ebca25a325bbcafbc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7097" t="17070" r="76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270" cy="459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1"/>
              <w:ind w:firstLine="460" w:firstLineChars="200"/>
              <w:rPr>
                <w:rFonts w:hint="default"/>
                <w:color w:val="000000"/>
                <w:szCs w:val="21"/>
                <w:lang w:val="en-US" w:eastAsia="zh-CN"/>
              </w:rPr>
            </w:pPr>
            <w:r>
              <w:rPr>
                <w:rFonts w:hint="eastAsia"/>
                <w:color w:val="000000"/>
                <w:szCs w:val="21"/>
                <w:lang w:val="en-US" w:eastAsia="zh-CN"/>
              </w:rPr>
              <w:t>针对调查反馈的问题企业积极对待，及时进行处理，安排专人进行培训。</w:t>
            </w:r>
          </w:p>
          <w:p>
            <w:pPr>
              <w:pStyle w:val="11"/>
              <w:rPr>
                <w:rFonts w:hint="eastAsia"/>
                <w:color w:val="000000"/>
                <w:szCs w:val="21"/>
                <w:lang w:val="en-US" w:eastAsia="zh-CN"/>
              </w:rPr>
            </w:pPr>
            <w:r>
              <w:rPr>
                <w:rFonts w:hint="eastAsia"/>
                <w:color w:val="000000"/>
                <w:szCs w:val="21"/>
                <w:lang w:val="en-US" w:eastAsia="zh-CN"/>
              </w:rPr>
              <w:t>政府部门会定期进行查核调研，针对查核结果与群众反馈意见，对公司服务社区的费用进行结算，暂未取得政府考核评价的内容。查看费用结算单：</w:t>
            </w:r>
          </w:p>
          <w:p>
            <w:pPr>
              <w:pStyle w:val="11"/>
              <w:rPr>
                <w:rFonts w:hint="default"/>
                <w:color w:val="000000"/>
                <w:szCs w:val="21"/>
                <w:lang w:val="en-US" w:eastAsia="zh-CN"/>
              </w:rPr>
            </w:pPr>
            <w:r>
              <w:rPr>
                <w:rFonts w:hint="default"/>
                <w:color w:val="000000"/>
                <w:szCs w:val="21"/>
                <w:lang w:val="en-US" w:eastAsia="zh-CN"/>
              </w:rPr>
              <w:drawing>
                <wp:inline distT="0" distB="0" distL="114300" distR="114300">
                  <wp:extent cx="6207760" cy="2339340"/>
                  <wp:effectExtent l="0" t="0" r="2540" b="10160"/>
                  <wp:docPr id="16" name="图片 16" descr="61440513cc583f145eaf7d25d4f90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61440513cc583f145eaf7d25d4f90f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b="445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7760" cy="2339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80" w:lineRule="exact"/>
              <w:ind w:firstLine="420" w:firstLineChars="200"/>
              <w:rPr>
                <w:rFonts w:hint="eastAsia" w:eastAsia="宋体"/>
                <w:color w:val="000000"/>
                <w:szCs w:val="21"/>
                <w:lang w:eastAsia="zh-CN"/>
              </w:rPr>
            </w:pPr>
            <w:r>
              <w:rPr>
                <w:rFonts w:hint="eastAsia" w:eastAsia="宋体"/>
                <w:color w:val="000000"/>
                <w:szCs w:val="21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104140</wp:posOffset>
                  </wp:positionV>
                  <wp:extent cx="6207760" cy="2426970"/>
                  <wp:effectExtent l="0" t="0" r="2540" b="11430"/>
                  <wp:wrapNone/>
                  <wp:docPr id="17" name="图片 17" descr="0f50ce4b2b32df2de26dae0881d2da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0f50ce4b2b32df2de26dae0881d2da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12788" b="297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7760" cy="242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280" w:lineRule="exact"/>
              <w:ind w:firstLine="420" w:firstLineChars="200"/>
              <w:rPr>
                <w:rFonts w:hint="eastAsia"/>
                <w:color w:val="000000"/>
                <w:szCs w:val="21"/>
              </w:rPr>
            </w:pPr>
          </w:p>
          <w:p>
            <w:pPr>
              <w:spacing w:line="280" w:lineRule="exact"/>
              <w:ind w:firstLine="420" w:firstLineChars="200"/>
              <w:rPr>
                <w:rFonts w:hint="eastAsia"/>
                <w:color w:val="000000"/>
                <w:szCs w:val="21"/>
              </w:rPr>
            </w:pPr>
          </w:p>
          <w:p>
            <w:pPr>
              <w:spacing w:line="280" w:lineRule="exact"/>
              <w:ind w:firstLine="420" w:firstLineChars="200"/>
              <w:rPr>
                <w:rFonts w:hint="eastAsia"/>
                <w:color w:val="000000"/>
                <w:szCs w:val="21"/>
              </w:rPr>
            </w:pPr>
          </w:p>
          <w:p>
            <w:pPr>
              <w:spacing w:line="280" w:lineRule="exact"/>
              <w:ind w:firstLine="420" w:firstLineChars="200"/>
              <w:rPr>
                <w:rFonts w:hint="eastAsia"/>
                <w:color w:val="000000"/>
                <w:szCs w:val="21"/>
              </w:rPr>
            </w:pPr>
          </w:p>
          <w:p>
            <w:pPr>
              <w:spacing w:line="280" w:lineRule="exact"/>
              <w:ind w:firstLine="420" w:firstLineChars="200"/>
              <w:rPr>
                <w:rFonts w:hint="eastAsia"/>
                <w:color w:val="000000"/>
                <w:szCs w:val="21"/>
              </w:rPr>
            </w:pPr>
          </w:p>
          <w:p>
            <w:pPr>
              <w:spacing w:line="280" w:lineRule="exact"/>
              <w:ind w:firstLine="420" w:firstLineChars="200"/>
              <w:rPr>
                <w:rFonts w:hint="eastAsia"/>
                <w:color w:val="000000"/>
                <w:szCs w:val="21"/>
              </w:rPr>
            </w:pPr>
          </w:p>
          <w:p>
            <w:pPr>
              <w:spacing w:line="280" w:lineRule="exact"/>
              <w:ind w:firstLine="420" w:firstLineChars="200"/>
              <w:rPr>
                <w:rFonts w:hint="eastAsia"/>
                <w:color w:val="000000"/>
                <w:szCs w:val="21"/>
              </w:rPr>
            </w:pPr>
          </w:p>
          <w:p>
            <w:pPr>
              <w:spacing w:line="280" w:lineRule="exact"/>
              <w:ind w:firstLine="420" w:firstLineChars="200"/>
              <w:rPr>
                <w:rFonts w:hint="eastAsia"/>
                <w:color w:val="000000"/>
                <w:szCs w:val="21"/>
              </w:rPr>
            </w:pPr>
          </w:p>
          <w:p>
            <w:pPr>
              <w:spacing w:line="280" w:lineRule="exact"/>
              <w:ind w:firstLine="420" w:firstLineChars="200"/>
              <w:rPr>
                <w:rFonts w:hint="eastAsia"/>
                <w:color w:val="000000"/>
                <w:szCs w:val="21"/>
              </w:rPr>
            </w:pPr>
          </w:p>
          <w:p>
            <w:pPr>
              <w:spacing w:line="280" w:lineRule="exact"/>
              <w:ind w:firstLine="420" w:firstLineChars="200"/>
              <w:rPr>
                <w:rFonts w:hint="eastAsia"/>
                <w:color w:val="000000"/>
                <w:szCs w:val="21"/>
              </w:rPr>
            </w:pPr>
          </w:p>
          <w:p>
            <w:pPr>
              <w:spacing w:line="280" w:lineRule="exact"/>
              <w:ind w:firstLine="420" w:firstLineChars="200"/>
              <w:rPr>
                <w:rFonts w:hint="eastAsia"/>
                <w:color w:val="000000"/>
                <w:szCs w:val="21"/>
              </w:rPr>
            </w:pPr>
          </w:p>
          <w:p>
            <w:pPr>
              <w:spacing w:line="280" w:lineRule="exact"/>
              <w:ind w:firstLine="420" w:firstLineChars="200"/>
              <w:rPr>
                <w:rFonts w:hint="eastAsia"/>
                <w:color w:val="000000"/>
                <w:szCs w:val="21"/>
              </w:rPr>
            </w:pPr>
          </w:p>
          <w:p>
            <w:pPr>
              <w:spacing w:line="280" w:lineRule="exact"/>
              <w:rPr>
                <w:rFonts w:ascii="宋体" w:hAnsi="宋体" w:cs="宋体"/>
                <w:szCs w:val="21"/>
              </w:rPr>
            </w:pPr>
          </w:p>
        </w:tc>
        <w:tc>
          <w:tcPr>
            <w:tcW w:w="1585" w:type="dxa"/>
          </w:tcPr>
          <w:p>
            <w:r>
              <w:rPr>
                <w:rFonts w:hint="eastAsia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1" w:hRule="atLeast"/>
        </w:trPr>
        <w:tc>
          <w:tcPr>
            <w:tcW w:w="2160" w:type="dxa"/>
          </w:tcPr>
          <w:p>
            <w:pPr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不合格输出的控制</w:t>
            </w:r>
          </w:p>
        </w:tc>
        <w:tc>
          <w:tcPr>
            <w:tcW w:w="960" w:type="dxa"/>
          </w:tcPr>
          <w:p>
            <w:pPr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QMS</w:t>
            </w:r>
          </w:p>
          <w:p>
            <w:pPr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8.7</w:t>
            </w:r>
          </w:p>
        </w:tc>
        <w:tc>
          <w:tcPr>
            <w:tcW w:w="10004" w:type="dxa"/>
            <w:vAlign w:val="center"/>
          </w:tcPr>
          <w:p>
            <w:pPr>
              <w:spacing w:line="280" w:lineRule="exact"/>
              <w:ind w:firstLine="480"/>
              <w:rPr>
                <w:rFonts w:ascii="宋体" w:hAnsi="宋体" w:cs="宋体"/>
                <w:szCs w:val="21"/>
              </w:rPr>
            </w:pPr>
            <w:r>
              <w:rPr>
                <w:rFonts w:hint="eastAsia"/>
                <w:szCs w:val="21"/>
              </w:rPr>
              <w:t>公司制定并执行了《不合格品控制程序 》，文件对不合格品的识别、控制方法和职责权限作出了规定，服务过程出现人员的差错，及时教育培训改正，改正程序等，基本符合标准要求。批发服务过程没有发现产品不合格或服务不符合的情况，并通过后续回访客户有关产品及服务过程信息，对过程进行控制 ，不合格品控制基本有效。</w:t>
            </w:r>
          </w:p>
        </w:tc>
        <w:tc>
          <w:tcPr>
            <w:tcW w:w="1585" w:type="dxa"/>
          </w:tcPr>
          <w:p>
            <w:r>
              <w:rPr>
                <w:rFonts w:hint="eastAsia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1" w:hRule="atLeast"/>
        </w:trPr>
        <w:tc>
          <w:tcPr>
            <w:tcW w:w="2160" w:type="dxa"/>
          </w:tcPr>
          <w:p>
            <w:pPr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环境因素辨识与评价</w:t>
            </w:r>
          </w:p>
        </w:tc>
        <w:tc>
          <w:tcPr>
            <w:tcW w:w="960" w:type="dxa"/>
          </w:tcPr>
          <w:p>
            <w:pPr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EO6.1.2</w:t>
            </w:r>
          </w:p>
          <w:p>
            <w:pPr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6.1.4</w:t>
            </w:r>
          </w:p>
        </w:tc>
        <w:tc>
          <w:tcPr>
            <w:tcW w:w="10004" w:type="dxa"/>
          </w:tcPr>
          <w:p>
            <w:pPr>
              <w:spacing w:line="280" w:lineRule="exact"/>
              <w:ind w:firstLine="420" w:firstLineChars="200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提供：环境因素识别与评价表，</w:t>
            </w:r>
          </w:p>
          <w:p>
            <w:pPr>
              <w:spacing w:line="280" w:lineRule="exact"/>
              <w:ind w:firstLine="420" w:firstLineChars="200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内容有：活动名称、环境因素、影响范围、影响程度、发生频次、是否重要环境因素等。</w:t>
            </w:r>
          </w:p>
          <w:p>
            <w:pPr>
              <w:spacing w:line="280" w:lineRule="exact"/>
              <w:ind w:firstLine="420" w:firstLineChars="200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采用打分评价法进行了评价，经识别评价，涉及本部门的重要环境因素有火灾。</w:t>
            </w:r>
          </w:p>
          <w:p>
            <w:pPr>
              <w:spacing w:line="280" w:lineRule="exact"/>
              <w:ind w:firstLine="420" w:firstLineChars="200"/>
              <w:rPr>
                <w:rFonts w:hint="eastAsia"/>
                <w:color w:val="000000"/>
                <w:szCs w:val="21"/>
              </w:rPr>
            </w:pPr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319405</wp:posOffset>
                  </wp:positionV>
                  <wp:extent cx="5207635" cy="1516380"/>
                  <wp:effectExtent l="0" t="0" r="12065" b="7620"/>
                  <wp:wrapNone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635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color w:val="000000"/>
                <w:szCs w:val="21"/>
              </w:rPr>
              <w:t>针对重要环境因素，固体废物，在分拣过程中识别出来的非预期产品，重新按垃圾分类的要求，重新投入对应的垃圾箱。</w:t>
            </w:r>
          </w:p>
          <w:p>
            <w:pPr>
              <w:pStyle w:val="11"/>
            </w:pPr>
          </w:p>
          <w:p>
            <w:pPr>
              <w:pStyle w:val="11"/>
            </w:pPr>
          </w:p>
          <w:p>
            <w:pPr>
              <w:pStyle w:val="11"/>
            </w:pPr>
          </w:p>
          <w:p>
            <w:pPr>
              <w:pStyle w:val="11"/>
            </w:pPr>
          </w:p>
          <w:p>
            <w:pPr>
              <w:pStyle w:val="11"/>
            </w:pPr>
          </w:p>
          <w:p>
            <w:pPr>
              <w:pStyle w:val="11"/>
            </w:pPr>
          </w:p>
          <w:p>
            <w:pPr>
              <w:spacing w:line="280" w:lineRule="exact"/>
              <w:ind w:firstLine="420" w:firstLineChars="200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提供：危险因素辨识与评价登记表</w:t>
            </w:r>
          </w:p>
          <w:p>
            <w:pPr>
              <w:spacing w:line="280" w:lineRule="exact"/>
              <w:ind w:firstLine="420" w:firstLineChars="200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内容有：作业活动、危险因素、可能导致的事故、作业条件危险评价、危险级别、现有控制措施等。</w:t>
            </w:r>
          </w:p>
          <w:p>
            <w:pPr>
              <w:spacing w:line="280" w:lineRule="exact"/>
              <w:ind w:firstLine="420" w:firstLineChars="200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识别的危险源有：使用不合格电源箱可能导致的火灾，电源、插座没有漏保或失灵、固定电源线使用裸露金属替代、外壳未接地或失效、漏电可能导致的的触电，操作可能导致的人身伤害等。</w:t>
            </w:r>
          </w:p>
          <w:p>
            <w:pPr>
              <w:spacing w:line="280" w:lineRule="exact"/>
              <w:ind w:firstLine="420" w:firstLineChars="200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提供：重大危险源清单。</w:t>
            </w:r>
          </w:p>
          <w:p>
            <w:pPr>
              <w:pStyle w:val="11"/>
            </w:pPr>
            <w:r>
              <w:drawing>
                <wp:inline distT="0" distB="0" distL="114300" distR="114300">
                  <wp:extent cx="5211445" cy="1585595"/>
                  <wp:effectExtent l="0" t="0" r="8255" b="1905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1445" cy="158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80" w:lineRule="exact"/>
              <w:ind w:firstLine="420" w:firstLineChars="200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环境和职业健康安全因素识别和评价控制符合要求。</w:t>
            </w:r>
          </w:p>
        </w:tc>
        <w:tc>
          <w:tcPr>
            <w:tcW w:w="1585" w:type="dxa"/>
          </w:tcPr>
          <w:p>
            <w:r>
              <w:rPr>
                <w:rFonts w:hint="eastAsia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</w:trPr>
        <w:tc>
          <w:tcPr>
            <w:tcW w:w="2160" w:type="dxa"/>
          </w:tcPr>
          <w:p>
            <w:pPr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运行策划和控制</w:t>
            </w:r>
          </w:p>
        </w:tc>
        <w:tc>
          <w:tcPr>
            <w:tcW w:w="960" w:type="dxa"/>
          </w:tcPr>
          <w:p>
            <w:pPr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EO8.1</w:t>
            </w:r>
          </w:p>
        </w:tc>
        <w:tc>
          <w:tcPr>
            <w:tcW w:w="10004" w:type="dxa"/>
          </w:tcPr>
          <w:p>
            <w:pPr>
              <w:spacing w:line="360" w:lineRule="auto"/>
              <w:ind w:firstLine="421"/>
              <w:rPr>
                <w:rFonts w:hint="eastAsia"/>
              </w:rPr>
            </w:pPr>
            <w:r>
              <w:rPr>
                <w:rFonts w:hint="eastAsia"/>
              </w:rPr>
              <w:t>编制与环境、安全体系运行控制有关的文件有《运行控制程序》、《应急准备和响应管理程序》、《安全管理程序》、《应急管理程序》、《应急预案》等。</w:t>
            </w:r>
          </w:p>
          <w:p>
            <w:pPr>
              <w:spacing w:line="280" w:lineRule="exact"/>
              <w:ind w:firstLine="420" w:firstLineChars="200"/>
            </w:pPr>
            <w:r>
              <w:rPr>
                <w:rFonts w:hint="eastAsia"/>
              </w:rPr>
              <w:t>现场检查：</w:t>
            </w:r>
          </w:p>
          <w:p>
            <w:pPr>
              <w:spacing w:line="280" w:lineRule="exact"/>
              <w:ind w:firstLine="420" w:firstLineChars="200"/>
            </w:pPr>
            <w:r>
              <w:rPr>
                <w:rFonts w:hint="eastAsia"/>
              </w:rPr>
              <w:t>办公区设有垃圾桶，定期放置到指定地点，由政府环卫统一收集处理。办公活动产生的墨盒等废物，固定地方存放由销售产品的公司负责回收。分拣活动，主要分类打包为主，对于发现的非预期产品，按垃圾分类的要求重新投入社区指定垃圾桶。水电的消耗，要求各部门人员提高节约意识，做到人走灯灭水关，现场未发现常流水和无人灯亮的情况。</w:t>
            </w:r>
          </w:p>
          <w:p>
            <w:pPr>
              <w:adjustRightInd w:val="0"/>
              <w:snapToGrid w:val="0"/>
              <w:spacing w:line="280" w:lineRule="exact"/>
              <w:ind w:firstLine="420" w:firstLineChars="200"/>
            </w:pPr>
            <w:r>
              <w:rPr>
                <w:rFonts w:hint="eastAsia"/>
              </w:rPr>
              <w:t>生活废水排放：生活废水排入政府污水管道统一处理。</w:t>
            </w:r>
          </w:p>
          <w:p>
            <w:pPr>
              <w:spacing w:line="280" w:lineRule="exact"/>
              <w:ind w:firstLine="420" w:firstLineChars="200"/>
            </w:pPr>
            <w:r>
              <w:rPr>
                <w:rFonts w:hint="eastAsia"/>
              </w:rPr>
              <w:t>对在</w:t>
            </w:r>
            <w:r>
              <w:rPr>
                <w:rFonts w:hint="eastAsia"/>
                <w:lang w:val="en-US" w:eastAsia="zh-CN"/>
              </w:rPr>
              <w:t>垃圾</w:t>
            </w:r>
            <w:r>
              <w:rPr>
                <w:rFonts w:hint="eastAsia"/>
              </w:rPr>
              <w:t>运输过程及上下班使用的车辆加强对车辆维护保养，减少废气排放和油料消耗。</w:t>
            </w:r>
          </w:p>
          <w:p>
            <w:pPr>
              <w:spacing w:line="280" w:lineRule="exact"/>
              <w:ind w:firstLine="420" w:firstLineChars="200"/>
            </w:pPr>
            <w:r>
              <w:rPr>
                <w:rFonts w:hint="eastAsia"/>
              </w:rPr>
              <w:t>防触电主要采取每半年检查电线老化，同时加强日常电线老化的观察；加强安全用电教育，防止人为触电。</w:t>
            </w:r>
          </w:p>
          <w:p>
            <w:pPr>
              <w:spacing w:line="280" w:lineRule="exact"/>
              <w:ind w:firstLine="420" w:firstLineChars="200"/>
            </w:pPr>
            <w:r>
              <w:rPr>
                <w:rFonts w:hint="eastAsia"/>
              </w:rPr>
              <w:t>公司为员工交纳了社保：详见审核综合部该条款记录</w:t>
            </w:r>
          </w:p>
          <w:p>
            <w:pPr>
              <w:spacing w:line="280" w:lineRule="exact"/>
              <w:ind w:firstLine="420" w:firstLineChars="200"/>
              <w:rPr>
                <w:rFonts w:hint="eastAsia"/>
              </w:rPr>
            </w:pPr>
            <w:r>
              <w:rPr>
                <w:rFonts w:hint="eastAsia"/>
              </w:rPr>
              <w:t>定期对销售人员发放劳保用品：手套、口罩等。</w:t>
            </w:r>
          </w:p>
          <w:p>
            <w:pPr>
              <w:spacing w:line="280" w:lineRule="exact"/>
              <w:ind w:firstLine="420" w:firstLineChars="200"/>
              <w:rPr>
                <w:rFonts w:hint="eastAsia"/>
              </w:rPr>
            </w:pPr>
            <w:r>
              <w:rPr>
                <w:rFonts w:hint="eastAsia"/>
              </w:rPr>
              <w:t>目前上下班运营部人员配戴口罩防护设施，综合部统一组织上班人员测量体温并登记信息。</w:t>
            </w:r>
          </w:p>
          <w:p>
            <w:pPr>
              <w:spacing w:line="280" w:lineRule="exact"/>
              <w:ind w:firstLine="420" w:firstLineChars="200"/>
              <w:rPr>
                <w:rFonts w:hint="eastAsia"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安全防护：公司给员工发放手套、口罩、防护眼镜等劳保用品，</w:t>
            </w:r>
            <w:r>
              <w:rPr>
                <w:rFonts w:hint="eastAsia" w:ascii="Times New Roman" w:hAnsi="Times New Roman" w:eastAsia="宋体" w:cs="Times New Roman"/>
                <w:lang w:val="en-US" w:eastAsia="zh-CN"/>
              </w:rPr>
              <w:t>安装现场</w:t>
            </w:r>
            <w:r>
              <w:rPr>
                <w:rFonts w:hint="eastAsia" w:ascii="Times New Roman" w:hAnsi="Times New Roman" w:eastAsia="宋体" w:cs="Times New Roman"/>
              </w:rPr>
              <w:t>悬挂安全警示牌。设备旋转部位和凸出部位，安装有防护罩和防护栏等，设备运行状况良好，无带病工作现象。</w:t>
            </w:r>
          </w:p>
          <w:p>
            <w:pPr>
              <w:spacing w:line="280" w:lineRule="exact"/>
              <w:ind w:firstLine="420" w:firstLineChars="200"/>
              <w:rPr>
                <w:rFonts w:hint="eastAsia"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能提供防止员工意外伤害加重的急救药品如创可贴、杀菌药水等。</w:t>
            </w:r>
          </w:p>
          <w:p>
            <w:pPr>
              <w:spacing w:line="280" w:lineRule="exact"/>
              <w:ind w:firstLine="420" w:firstLineChars="200"/>
              <w:rPr>
                <w:rFonts w:hint="eastAsia"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为主要长期员工上社保，查见交款证明。</w:t>
            </w:r>
          </w:p>
          <w:p>
            <w:pPr>
              <w:spacing w:line="280" w:lineRule="exact"/>
              <w:ind w:firstLine="420" w:firstLineChars="200"/>
              <w:rPr>
                <w:rFonts w:hint="eastAsia"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按有关程序和要求通报供方和顾客，采用〈告知函〉方式通报。查到相关方告知书。</w:t>
            </w:r>
          </w:p>
          <w:p>
            <w:pPr>
              <w:spacing w:line="280" w:lineRule="exact"/>
              <w:ind w:firstLine="420" w:firstLineChars="200"/>
              <w:rPr>
                <w:rFonts w:hint="eastAsia"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员工饮用水为纯净水通过饮水机饮用。</w:t>
            </w:r>
          </w:p>
          <w:p>
            <w:pPr>
              <w:pStyle w:val="11"/>
              <w:rPr>
                <w:rFonts w:hint="default" w:eastAsia="宋体"/>
                <w:lang w:val="en-US" w:eastAsia="zh-CN"/>
              </w:rPr>
            </w:pPr>
          </w:p>
        </w:tc>
        <w:tc>
          <w:tcPr>
            <w:tcW w:w="1585" w:type="dxa"/>
          </w:tcPr>
          <w:p>
            <w:r>
              <w:rPr>
                <w:rFonts w:hint="eastAsia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8" w:hRule="atLeast"/>
        </w:trPr>
        <w:tc>
          <w:tcPr>
            <w:tcW w:w="2160" w:type="dxa"/>
          </w:tcPr>
          <w:p>
            <w:pPr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应急准备和响应</w:t>
            </w:r>
          </w:p>
        </w:tc>
        <w:tc>
          <w:tcPr>
            <w:tcW w:w="960" w:type="dxa"/>
          </w:tcPr>
          <w:p>
            <w:pPr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/>
                <w:szCs w:val="21"/>
              </w:rPr>
              <w:t>EO</w:t>
            </w:r>
          </w:p>
          <w:p>
            <w:pPr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 xml:space="preserve">8.2 </w:t>
            </w:r>
          </w:p>
        </w:tc>
        <w:tc>
          <w:tcPr>
            <w:tcW w:w="10004" w:type="dxa"/>
            <w:vAlign w:val="center"/>
          </w:tcPr>
          <w:p>
            <w:pPr>
              <w:pStyle w:val="17"/>
              <w:spacing w:line="280" w:lineRule="exact"/>
              <w:ind w:firstLineChars="0"/>
              <w:rPr>
                <w:szCs w:val="21"/>
              </w:rPr>
            </w:pPr>
            <w:r>
              <w:rPr>
                <w:rFonts w:hint="eastAsia"/>
                <w:szCs w:val="21"/>
              </w:rPr>
              <w:t>编制了《应急准备和响应程序》，查看内容基本符合要求。</w:t>
            </w:r>
          </w:p>
          <w:p>
            <w:pPr>
              <w:pStyle w:val="17"/>
              <w:spacing w:line="280" w:lineRule="exact"/>
              <w:ind w:firstLineChars="0"/>
              <w:rPr>
                <w:szCs w:val="21"/>
              </w:rPr>
            </w:pPr>
            <w:r>
              <w:rPr>
                <w:rFonts w:hint="eastAsia"/>
                <w:szCs w:val="21"/>
              </w:rPr>
              <w:t>策划了应急预案包括触电、火灾等应急预案。</w:t>
            </w:r>
          </w:p>
          <w:p>
            <w:pPr>
              <w:pStyle w:val="17"/>
              <w:spacing w:line="280" w:lineRule="exact"/>
              <w:ind w:firstLineChars="0"/>
              <w:rPr>
                <w:szCs w:val="21"/>
              </w:rPr>
            </w:pPr>
            <w:r>
              <w:rPr>
                <w:rFonts w:hint="eastAsia"/>
                <w:szCs w:val="21"/>
              </w:rPr>
              <w:t>查应急预案评估报告，通过以上评估，公司应急预案的制定基本合理。</w:t>
            </w:r>
          </w:p>
          <w:p>
            <w:pPr>
              <w:pStyle w:val="17"/>
              <w:spacing w:line="280" w:lineRule="exact"/>
              <w:ind w:firstLineChars="0"/>
              <w:rPr>
                <w:rFonts w:hint="default" w:eastAsia="宋体"/>
                <w:b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详见综合部审核记录</w:t>
            </w:r>
          </w:p>
        </w:tc>
        <w:tc>
          <w:tcPr>
            <w:tcW w:w="1585" w:type="dxa"/>
          </w:tcPr>
          <w:p>
            <w:r>
              <w:rPr>
                <w:rFonts w:hint="eastAsia"/>
              </w:rPr>
              <w:t>Y</w:t>
            </w:r>
          </w:p>
        </w:tc>
      </w:tr>
    </w:tbl>
    <w:p>
      <w:pPr>
        <w:pStyle w:val="6"/>
      </w:pPr>
      <w:r>
        <w:rPr>
          <w:rFonts w:hint="eastAsia"/>
        </w:rPr>
        <w:t>说明：不符合标注N</w:t>
      </w:r>
    </w:p>
    <w:sectPr>
      <w:headerReference r:id="rId3" w:type="default"/>
      <w:footerReference r:id="rId4" w:type="default"/>
      <w:pgSz w:w="16838" w:h="11906" w:orient="landscape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02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PMingLiU">
    <w:altName w:val="PMingLiU-ExtB"/>
    <w:panose1 w:val="02020500000000000000"/>
    <w:charset w:val="88"/>
    <w:family w:val="roman"/>
    <w:pitch w:val="default"/>
    <w:sig w:usb0="00000000" w:usb1="00000000" w:usb2="00000016" w:usb3="00000000" w:csb0="0010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IDFon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4900"/>
    </w:sdtPr>
    <w:sdtContent>
      <w:sdt>
        <w:sdtPr>
          <w:id w:val="171357217"/>
        </w:sdtPr>
        <w:sdtContent>
          <w:p>
            <w:pPr>
              <w:pStyle w:val="6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6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15"/>
        <w:rFonts w:hint="default"/>
      </w:rP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15"/>
        <w:rFonts w:hint="default"/>
      </w:rPr>
      <w:t>北京国标联合认证有限公司</w:t>
    </w:r>
    <w:r>
      <w:rPr>
        <w:rStyle w:val="15"/>
        <w:rFonts w:hint="default"/>
      </w:rPr>
      <w:tab/>
    </w:r>
    <w:r>
      <w:rPr>
        <w:rStyle w:val="15"/>
        <w:rFonts w:hint="default"/>
      </w:rPr>
      <w:tab/>
    </w:r>
    <w:r>
      <w:rPr>
        <w:rStyle w:val="15"/>
        <w:rFonts w:hint="default"/>
      </w:rPr>
      <w:tab/>
    </w:r>
  </w:p>
  <w:p>
    <w:pPr>
      <w:pStyle w:val="7"/>
      <w:pBdr>
        <w:bottom w:val="none" w:color="auto" w:sz="0" w:space="0"/>
      </w:pBdr>
      <w:spacing w:line="320" w:lineRule="exact"/>
      <w:jc w:val="left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7045325</wp:posOffset>
              </wp:positionH>
              <wp:positionV relativeFrom="paragraph">
                <wp:posOffset>27940</wp:posOffset>
              </wp:positionV>
              <wp:extent cx="2184400" cy="256540"/>
              <wp:effectExtent l="0" t="0" r="0" b="1270"/>
              <wp:wrapNone/>
              <wp:docPr id="2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0" cy="256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ISC-</w:t>
                          </w:r>
                          <w:r>
                            <w:rPr>
                              <w:sz w:val="18"/>
                              <w:szCs w:val="18"/>
                            </w:rPr>
                            <w:t>B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-</w:t>
                          </w:r>
                          <w:r>
                            <w:rPr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-31管理体系审核记录表(03版)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554.75pt;margin-top:2.2pt;height:20.2pt;width:172pt;z-index:251660288;mso-width-relative:page;mso-height-relative:page;" fillcolor="#FFFFFF" filled="t" stroked="f" coordsize="21600,21600" o:gfxdata="UEsDBAoAAAAAAIdO4kAAAAAAAAAAAAAAAAAEAAAAZHJzL1BLAwQUAAAACACHTuJAIQaq5dYAAAAK&#10;AQAADwAAAGRycy9kb3ducmV2LnhtbE2PzU7DMBCE70i8g7VIXBC1A0l/QpxKIIG49ucBNvE2iYjX&#10;Uew27dvjnOA4s59mZ4rt1fbiQqPvHGtIFgoEce1Mx42G4+HzeQ3CB2SDvWPScCMP2/L+rsDcuIl3&#10;dNmHRsQQ9jlqaEMYcil93ZJFv3ADcbyd3GgxRDk20ow4xXDbyxelltJix/FDiwN9tFT/7M9Ww+l7&#10;eso2U/UVjqtdunzHblW5m9aPD4l6AxHoGv5gmOvH6lDGTpU7s/GijzpRmyyyGtIUxAyk2Ws0qtlY&#10;gywL+X9C+QtQSwMEFAAAAAgAh07iQNRv0G8qAgAAPgQAAA4AAABkcnMvZTJvRG9jLnhtbK1TzY7T&#10;MBC+I/EOlu80bdQuS9R0tbQqQlp+pIUHcBwnsUg8Zuw2WR4A3oATF+48V5+DsdMtZbnsgRwij2fm&#10;m/m+GS+vhq5le4VOg8n5bDLlTBkJpTZ1zj9+2D675Mx5YUrRglE5v1OOX62ePln2NlMpNNCWChmB&#10;GJf1NueN9zZLEicb1Qk3AasMOSvATngysU5KFD2hd22STqcXSQ9YWgSpnKPbzejkR0R8DCBUlZZq&#10;A3LXKeNHVFSt8ETJNdo6vordVpWS/l1VOeVZm3Ni6uOfitC5CP9ktRRZjcI2Wh5bEI9p4QGnTmhD&#10;RU9QG+EF26H+B6rTEsFB5ScSumQkEhUhFrPpA21uG2FV5EJSO3sS3f0/WPl2/x6ZLnOecmZERwM/&#10;fP92+PHr8PMrmwV5eusyirq1FOeHlzDQ0kSqzt6A/OSYgXUjTK2uEaFvlCipvZiZnKWOOC6AFP0b&#10;KKmO2HmIQEOFXdCO1GCETqO5O41GDZ5Jukxnl/P5lFySfOniYjGPs0tEdp9t0flXCjoWDjlHGn1E&#10;F/sb54kHhd6HhGIOWl1uddtGA+ti3SLbC1qTbfwCdUr5K6w1IdhASBvd4SbSDMxGjn4ohqNsBZR3&#10;RBhhXDt6dHRoAL9w1tPK5dx93glUnLWvDYn2YkYUaUejMV88T8nAc09x7hFGElTOPWfjce3Hvd5Z&#10;1HVDlcYxGbgmoSsdNQgTGbs69k1rFXken0DY23M7Rv159qv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IQaq5dYAAAAKAQAADwAAAAAAAAABACAAAAAiAAAAZHJzL2Rvd25yZXYueG1sUEsBAhQAFAAA&#10;AAgAh07iQNRv0G8qAgAAPgQAAA4AAAAAAAAAAQAgAAAAJQEAAGRycy9lMm9Eb2MueG1sUEsFBgAA&#10;AAAGAAYAWQEAAMEFAAAAAA==&#10;">
              <v:fill on="t" focussize="0,0"/>
              <v:stroke on="f"/>
              <v:imagedata o:title=""/>
              <o:lock v:ext="edit" aspectratio="f"/>
              <v:textbox>
                <w:txbxContent>
                  <w:p>
                    <w:r>
                      <w:rPr>
                        <w:rFonts w:hint="eastAsia"/>
                        <w:sz w:val="18"/>
                        <w:szCs w:val="18"/>
                      </w:rPr>
                      <w:t>ISC-</w:t>
                    </w:r>
                    <w:r>
                      <w:rPr>
                        <w:sz w:val="18"/>
                        <w:szCs w:val="18"/>
                      </w:rPr>
                      <w:t>B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-</w:t>
                    </w:r>
                    <w:r>
                      <w:rPr>
                        <w:sz w:val="18"/>
                        <w:szCs w:val="18"/>
                      </w:rPr>
                      <w:t>I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-31管理体系审核记录表(03版)</w:t>
                    </w:r>
                  </w:p>
                </w:txbxContent>
              </v:textbox>
            </v:shape>
          </w:pict>
        </mc:Fallback>
      </mc:AlternateContent>
    </w:r>
    <w:r>
      <w:rPr>
        <w:rStyle w:val="15"/>
        <w:rFonts w:hint="default"/>
        <w:w w:val="90"/>
      </w:rPr>
      <w:t>Beijing International Standard united Certification Co.,Ltd.</w:t>
    </w:r>
  </w:p>
  <w:p>
    <w:pPr>
      <w:pStyle w:val="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03BF0C3"/>
    <w:multiLevelType w:val="singleLevel"/>
    <w:tmpl w:val="F03BF0C3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77A48AF2"/>
    <w:multiLevelType w:val="singleLevel"/>
    <w:tmpl w:val="77A48AF2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611"/>
    <w:rsid w:val="00057B1C"/>
    <w:rsid w:val="000634E0"/>
    <w:rsid w:val="000671DE"/>
    <w:rsid w:val="000929A8"/>
    <w:rsid w:val="000F2CEF"/>
    <w:rsid w:val="00144AD5"/>
    <w:rsid w:val="00162691"/>
    <w:rsid w:val="00173017"/>
    <w:rsid w:val="001A493E"/>
    <w:rsid w:val="002156FF"/>
    <w:rsid w:val="00263638"/>
    <w:rsid w:val="00295CDC"/>
    <w:rsid w:val="002D28BD"/>
    <w:rsid w:val="002F484C"/>
    <w:rsid w:val="00303693"/>
    <w:rsid w:val="00315297"/>
    <w:rsid w:val="00321960"/>
    <w:rsid w:val="00344AA3"/>
    <w:rsid w:val="00347B79"/>
    <w:rsid w:val="00355ECC"/>
    <w:rsid w:val="0036229B"/>
    <w:rsid w:val="003C1B0D"/>
    <w:rsid w:val="003D7B7D"/>
    <w:rsid w:val="003F33A8"/>
    <w:rsid w:val="003F785A"/>
    <w:rsid w:val="00401666"/>
    <w:rsid w:val="00453741"/>
    <w:rsid w:val="0045409B"/>
    <w:rsid w:val="00485193"/>
    <w:rsid w:val="0049604C"/>
    <w:rsid w:val="004D0690"/>
    <w:rsid w:val="004E797E"/>
    <w:rsid w:val="00507E92"/>
    <w:rsid w:val="00545A63"/>
    <w:rsid w:val="005B20B0"/>
    <w:rsid w:val="005B2D8E"/>
    <w:rsid w:val="005B5F7D"/>
    <w:rsid w:val="005C7DBA"/>
    <w:rsid w:val="00605D58"/>
    <w:rsid w:val="00646F9A"/>
    <w:rsid w:val="00655A1D"/>
    <w:rsid w:val="006704CA"/>
    <w:rsid w:val="0069320B"/>
    <w:rsid w:val="006B7275"/>
    <w:rsid w:val="00714C60"/>
    <w:rsid w:val="00793D92"/>
    <w:rsid w:val="007A72C4"/>
    <w:rsid w:val="00870586"/>
    <w:rsid w:val="008A6625"/>
    <w:rsid w:val="008E5568"/>
    <w:rsid w:val="00925A92"/>
    <w:rsid w:val="0098636C"/>
    <w:rsid w:val="00987D09"/>
    <w:rsid w:val="009D1363"/>
    <w:rsid w:val="00A615E8"/>
    <w:rsid w:val="00A92D54"/>
    <w:rsid w:val="00AE4A8E"/>
    <w:rsid w:val="00AF5445"/>
    <w:rsid w:val="00AF7A8A"/>
    <w:rsid w:val="00B36CF3"/>
    <w:rsid w:val="00B97A59"/>
    <w:rsid w:val="00BC5955"/>
    <w:rsid w:val="00C26588"/>
    <w:rsid w:val="00C31913"/>
    <w:rsid w:val="00C44524"/>
    <w:rsid w:val="00C717A2"/>
    <w:rsid w:val="00CC1629"/>
    <w:rsid w:val="00CF0CB6"/>
    <w:rsid w:val="00D37EF8"/>
    <w:rsid w:val="00D619B8"/>
    <w:rsid w:val="00D650DE"/>
    <w:rsid w:val="00D807C9"/>
    <w:rsid w:val="00D814C1"/>
    <w:rsid w:val="00D96149"/>
    <w:rsid w:val="00D97452"/>
    <w:rsid w:val="00DD1FE4"/>
    <w:rsid w:val="00DF12DC"/>
    <w:rsid w:val="00EC20CB"/>
    <w:rsid w:val="00ED01B8"/>
    <w:rsid w:val="00F22611"/>
    <w:rsid w:val="00F47546"/>
    <w:rsid w:val="00F5368E"/>
    <w:rsid w:val="00F90642"/>
    <w:rsid w:val="00FC294A"/>
    <w:rsid w:val="0245473F"/>
    <w:rsid w:val="098B5767"/>
    <w:rsid w:val="111D0A4A"/>
    <w:rsid w:val="134C37DA"/>
    <w:rsid w:val="15040A7A"/>
    <w:rsid w:val="2126752A"/>
    <w:rsid w:val="217725F9"/>
    <w:rsid w:val="28EB0628"/>
    <w:rsid w:val="2C150D39"/>
    <w:rsid w:val="318E5CBC"/>
    <w:rsid w:val="35053D8D"/>
    <w:rsid w:val="354E3CB0"/>
    <w:rsid w:val="373632FF"/>
    <w:rsid w:val="39C20A18"/>
    <w:rsid w:val="3C772C94"/>
    <w:rsid w:val="3EE75538"/>
    <w:rsid w:val="42255769"/>
    <w:rsid w:val="45D773CD"/>
    <w:rsid w:val="470571F6"/>
    <w:rsid w:val="59087BF4"/>
    <w:rsid w:val="5D670402"/>
    <w:rsid w:val="6ED66673"/>
    <w:rsid w:val="6EFA72B7"/>
    <w:rsid w:val="70CB336A"/>
    <w:rsid w:val="75D337E7"/>
    <w:rsid w:val="76A04D03"/>
    <w:rsid w:val="7C6338A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keepNext/>
      <w:jc w:val="center"/>
      <w:outlineLvl w:val="0"/>
    </w:pPr>
    <w:rPr>
      <w:rFonts w:eastAsia="PMingLiU"/>
      <w:b/>
      <w:bCs/>
      <w:sz w:val="24"/>
      <w:lang w:eastAsia="zh-TW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spacing w:after="120" w:line="240" w:lineRule="auto"/>
      <w:ind w:left="420" w:leftChars="200" w:firstLine="420" w:firstLineChars="200"/>
    </w:pPr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paragraph" w:styleId="3">
    <w:name w:val="Body Text Indent"/>
    <w:basedOn w:val="1"/>
    <w:qFormat/>
    <w:uiPriority w:val="0"/>
    <w:pPr>
      <w:spacing w:after="120"/>
      <w:ind w:left="420" w:leftChars="200"/>
    </w:pPr>
    <w:rPr>
      <w:rFonts w:ascii="Calibri" w:hAnsi="Calibri" w:eastAsia="宋体" w:cs="Times New Roman"/>
      <w:sz w:val="24"/>
      <w:szCs w:val="24"/>
      <w:lang w:val="en-US" w:eastAsia="zh-CN" w:bidi="ar-SA"/>
    </w:rPr>
  </w:style>
  <w:style w:type="paragraph" w:styleId="5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2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9">
    <w:name w:val="Table Grid"/>
    <w:basedOn w:val="8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1">
    <w:name w:val="表格文字"/>
    <w:basedOn w:val="1"/>
    <w:qFormat/>
    <w:uiPriority w:val="0"/>
    <w:pPr>
      <w:spacing w:before="25" w:after="25"/>
    </w:pPr>
    <w:rPr>
      <w:bCs/>
      <w:spacing w:val="10"/>
    </w:rPr>
  </w:style>
  <w:style w:type="character" w:customStyle="1" w:styleId="12">
    <w:name w:val="页眉 字符"/>
    <w:basedOn w:val="10"/>
    <w:link w:val="7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3">
    <w:name w:val="页脚 字符"/>
    <w:basedOn w:val="10"/>
    <w:link w:val="6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4">
    <w:name w:val="批注框文本 字符"/>
    <w:basedOn w:val="10"/>
    <w:link w:val="5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5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customStyle="1" w:styleId="16">
    <w:name w:val="Char Char Char Char"/>
    <w:basedOn w:val="1"/>
    <w:qFormat/>
    <w:uiPriority w:val="0"/>
    <w:pPr>
      <w:widowControl/>
      <w:spacing w:after="160" w:line="240" w:lineRule="exact"/>
      <w:jc w:val="left"/>
    </w:pPr>
    <w:rPr>
      <w:rFonts w:ascii="Arial" w:hAnsi="Arial" w:eastAsia="Times New Roman" w:cs="Verdana"/>
      <w:b/>
      <w:kern w:val="0"/>
      <w:sz w:val="24"/>
      <w:lang w:eastAsia="en-US"/>
    </w:rPr>
  </w:style>
  <w:style w:type="paragraph" w:customStyle="1" w:styleId="17">
    <w:name w:val="_Style 2"/>
    <w:basedOn w:val="1"/>
    <w:qFormat/>
    <w:uiPriority w:val="34"/>
    <w:pPr>
      <w:ind w:firstLine="420" w:firstLineChars="200"/>
    </w:pPr>
    <w:rPr>
      <w:rFonts w:ascii="Calibri" w:hAnsi="Calibri"/>
      <w:sz w:val="24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pn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1091</Words>
  <Characters>6220</Characters>
  <Lines>51</Lines>
  <Paragraphs>14</Paragraphs>
  <TotalTime>0</TotalTime>
  <ScaleCrop>false</ScaleCrop>
  <LinksUpToDate>false</LinksUpToDate>
  <CharactersWithSpaces>7297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2020-04-19T06:32:00Z</dcterms:created>
  <dc:creator>微软用户</dc:creator>
  <cp:lastModifiedBy>春华秋实</cp:lastModifiedBy>
  <dcterms:modified xsi:type="dcterms:W3CDTF">2021-10-02T01:52:39Z</dcterms:modified>
  <cp:revision>54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9D015DD1F543466EACB42A3FDC05B482</vt:lpwstr>
  </property>
</Properties>
</file>