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179"/>
        <w:gridCol w:w="984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9"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48"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田月华</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王益枫</w:t>
            </w:r>
          </w:p>
        </w:tc>
        <w:tc>
          <w:tcPr>
            <w:tcW w:w="155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4" w:type="dxa"/>
            <w:vMerge w:val="continue"/>
            <w:vAlign w:val="center"/>
          </w:tcPr>
          <w:p/>
        </w:tc>
        <w:tc>
          <w:tcPr>
            <w:tcW w:w="1179" w:type="dxa"/>
            <w:vMerge w:val="continue"/>
            <w:vAlign w:val="center"/>
          </w:tcPr>
          <w:p/>
        </w:tc>
        <w:tc>
          <w:tcPr>
            <w:tcW w:w="9848" w:type="dxa"/>
            <w:vAlign w:val="center"/>
          </w:tcPr>
          <w:p>
            <w:pPr>
              <w:spacing w:before="120"/>
              <w:rPr>
                <w:rFonts w:hint="eastAsia" w:eastAsia="宋体"/>
                <w:lang w:eastAsia="zh-CN"/>
              </w:rPr>
            </w:pPr>
            <w:r>
              <w:rPr>
                <w:rFonts w:hint="eastAsia"/>
                <w:sz w:val="24"/>
                <w:szCs w:val="24"/>
              </w:rPr>
              <w:t>审核员：</w:t>
            </w:r>
            <w:r>
              <w:rPr>
                <w:rFonts w:hint="eastAsia"/>
                <w:sz w:val="24"/>
                <w:szCs w:val="24"/>
                <w:lang w:val="de-DE"/>
              </w:rPr>
              <w:t>张磊</w:t>
            </w:r>
            <w:r>
              <w:rPr>
                <w:rFonts w:hint="eastAsia"/>
                <w:sz w:val="24"/>
                <w:szCs w:val="24"/>
                <w:lang w:val="de-DE" w:eastAsia="zh-CN"/>
              </w:rPr>
              <w:t>、王建红</w:t>
            </w:r>
            <w:r>
              <w:rPr>
                <w:rFonts w:hint="eastAsia"/>
                <w:sz w:val="24"/>
                <w:szCs w:val="24"/>
                <w:lang w:val="en-US" w:eastAsia="zh-CN"/>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 xml:space="preserve"> 2021.9.25</w:t>
            </w: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4" w:type="dxa"/>
            <w:vMerge w:val="continue"/>
            <w:vAlign w:val="center"/>
          </w:tcPr>
          <w:p/>
        </w:tc>
        <w:tc>
          <w:tcPr>
            <w:tcW w:w="1179" w:type="dxa"/>
            <w:vMerge w:val="continue"/>
            <w:vAlign w:val="center"/>
          </w:tcPr>
          <w:p/>
        </w:tc>
        <w:tc>
          <w:tcPr>
            <w:tcW w:w="9848" w:type="dxa"/>
            <w:vAlign w:val="center"/>
          </w:tcPr>
          <w:p>
            <w:pPr>
              <w:rPr>
                <w:color w:val="000000"/>
                <w:szCs w:val="21"/>
              </w:rPr>
            </w:pPr>
            <w:r>
              <w:rPr>
                <w:rFonts w:hint="eastAsia"/>
                <w:color w:val="000000"/>
                <w:szCs w:val="21"/>
              </w:rPr>
              <w:t>审核条款：</w:t>
            </w:r>
          </w:p>
          <w:p>
            <w:pPr>
              <w:rPr>
                <w:color w:val="000000"/>
                <w:szCs w:val="21"/>
              </w:rPr>
            </w:pP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w:t>
            </w:r>
            <w:r>
              <w:rPr>
                <w:rFonts w:hint="eastAsia" w:ascii="宋体" w:hAnsi="宋体" w:eastAsia="宋体" w:cs="Arial"/>
                <w:spacing w:val="-6"/>
                <w:sz w:val="21"/>
                <w:szCs w:val="21"/>
              </w:rPr>
              <w:t>、5.4工作人员的协商和参与</w:t>
            </w: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 xml:space="preserve">6.1 应对风险和机遇的措施 </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6.2.1 环境目标</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lang w:val="en-US" w:eastAsia="zh-CN"/>
              </w:rPr>
              <w:t>E</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6.2职业健康安全目标及其实现</w:t>
            </w:r>
            <w:r>
              <w:rPr>
                <w:rFonts w:hint="eastAsia" w:ascii="宋体" w:hAnsi="宋体" w:cs="Arial"/>
                <w:spacing w:val="-6"/>
                <w:sz w:val="21"/>
                <w:szCs w:val="21"/>
              </w:rPr>
              <w:t>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7.1）资源总则、</w:t>
            </w:r>
            <w:r>
              <w:rPr>
                <w:rFonts w:hint="eastAsia" w:ascii="宋体" w:hAnsi="宋体" w:cs="Arial"/>
                <w:sz w:val="21"/>
                <w:szCs w:val="21"/>
              </w:rPr>
              <w:t>7.1.6组织知识</w:t>
            </w:r>
            <w:r>
              <w:rPr>
                <w:rFonts w:hint="eastAsia" w:ascii="宋体" w:hAnsi="宋体" w:cs="Arial"/>
                <w:spacing w:val="-6"/>
                <w:sz w:val="21"/>
                <w:szCs w:val="21"/>
                <w:lang w:eastAsia="zh-CN"/>
              </w:rPr>
              <w:t>、</w:t>
            </w:r>
            <w:r>
              <w:rPr>
                <w:rFonts w:hint="eastAsia" w:ascii="宋体" w:hAnsi="宋体" w:cs="Arial"/>
                <w:spacing w:val="-6"/>
                <w:sz w:val="21"/>
                <w:szCs w:val="21"/>
              </w:rPr>
              <w:t>9.1.1总则 、</w:t>
            </w:r>
            <w:r>
              <w:rPr>
                <w:rFonts w:hint="eastAsia" w:ascii="宋体" w:hAnsi="宋体" w:cs="Arial"/>
                <w:sz w:val="21"/>
                <w:szCs w:val="21"/>
              </w:rPr>
              <w:t>9.2 内部审核、</w:t>
            </w:r>
            <w:r>
              <w:rPr>
                <w:rFonts w:hint="eastAsia" w:ascii="宋体" w:hAnsi="宋体" w:cs="Arial"/>
                <w:spacing w:val="-6"/>
                <w:sz w:val="21"/>
                <w:szCs w:val="21"/>
              </w:rPr>
              <w:t>9.3管理评审、10</w:t>
            </w:r>
            <w:r>
              <w:rPr>
                <w:rFonts w:hint="eastAsia" w:ascii="宋体" w:hAnsi="宋体" w:cs="Arial"/>
                <w:spacing w:val="-6"/>
                <w:sz w:val="21"/>
                <w:szCs w:val="21"/>
                <w:lang w:val="en-US" w:eastAsia="zh-CN"/>
              </w:rPr>
              <w:t>.1</w:t>
            </w:r>
            <w:r>
              <w:rPr>
                <w:rFonts w:hint="eastAsia" w:ascii="宋体" w:hAnsi="宋体" w:cs="Arial"/>
                <w:spacing w:val="-6"/>
                <w:sz w:val="21"/>
                <w:szCs w:val="21"/>
              </w:rPr>
              <w:t>改进</w:t>
            </w:r>
            <w:r>
              <w:rPr>
                <w:rFonts w:hint="eastAsia" w:ascii="宋体" w:hAnsi="宋体" w:cs="Arial"/>
                <w:spacing w:val="-6"/>
                <w:sz w:val="21"/>
                <w:szCs w:val="21"/>
                <w:lang w:val="en-US" w:eastAsia="zh-CN"/>
              </w:rPr>
              <w:t xml:space="preserve">总则、10.2 </w:t>
            </w:r>
            <w:r>
              <w:rPr>
                <w:rFonts w:hint="eastAsia" w:ascii="宋体" w:hAnsi="宋体" w:cs="宋体"/>
                <w:szCs w:val="21"/>
              </w:rPr>
              <w:t>不符合/事件和纠正措施</w:t>
            </w:r>
            <w:r>
              <w:rPr>
                <w:rFonts w:hint="eastAsia" w:ascii="宋体" w:hAnsi="宋体" w:cs="宋体"/>
                <w:szCs w:val="21"/>
                <w:lang w:eastAsia="zh-CN"/>
              </w:rPr>
              <w:t>、</w:t>
            </w:r>
            <w:r>
              <w:rPr>
                <w:rFonts w:hint="eastAsia" w:ascii="宋体" w:hAnsi="宋体" w:cs="Arial"/>
                <w:spacing w:val="-6"/>
                <w:sz w:val="21"/>
                <w:szCs w:val="21"/>
                <w:lang w:val="en-US" w:eastAsia="zh-CN"/>
              </w:rPr>
              <w:t>10.3持续改进</w:t>
            </w: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4" w:type="dxa"/>
          </w:tcPr>
          <w:p>
            <w:r>
              <w:rPr>
                <w:rFonts w:hint="eastAsia"/>
              </w:rPr>
              <w:t>理解组织及其环境</w:t>
            </w:r>
          </w:p>
          <w:p/>
          <w:p/>
          <w:p>
            <w:r>
              <w:rPr>
                <w:rFonts w:hint="eastAsia"/>
              </w:rPr>
              <w:t>确定管理体系的范围</w:t>
            </w:r>
          </w:p>
        </w:tc>
        <w:tc>
          <w:tcPr>
            <w:tcW w:w="1179" w:type="dxa"/>
          </w:tcPr>
          <w:p>
            <w:pPr>
              <w:spacing w:line="280" w:lineRule="exact"/>
            </w:pPr>
            <w:r>
              <w:rPr>
                <w:rFonts w:hint="eastAsia"/>
              </w:rPr>
              <w:t>QEO</w:t>
            </w:r>
          </w:p>
          <w:p>
            <w:pPr>
              <w:spacing w:line="280" w:lineRule="exact"/>
            </w:pPr>
            <w:r>
              <w:rPr>
                <w:rFonts w:hint="eastAsia"/>
              </w:rPr>
              <w:t>4.1</w:t>
            </w:r>
          </w:p>
          <w:p>
            <w:pPr>
              <w:spacing w:line="280" w:lineRule="exact"/>
              <w:ind w:firstLine="420" w:firstLineChars="200"/>
            </w:pPr>
          </w:p>
          <w:p>
            <w:pPr>
              <w:spacing w:line="280" w:lineRule="exact"/>
            </w:pPr>
            <w:r>
              <w:rPr>
                <w:rFonts w:hint="eastAsia"/>
              </w:rPr>
              <w:t>QEO</w:t>
            </w:r>
          </w:p>
          <w:p>
            <w:pPr>
              <w:spacing w:line="280" w:lineRule="exact"/>
            </w:pPr>
            <w:r>
              <w:rPr>
                <w:rFonts w:hint="eastAsia"/>
              </w:rPr>
              <w:t>4.3</w:t>
            </w:r>
          </w:p>
          <w:p>
            <w:pPr>
              <w:spacing w:line="280" w:lineRule="exact"/>
            </w:pPr>
            <w:r>
              <w:rPr>
                <w:rFonts w:hint="eastAsia"/>
              </w:rPr>
              <w:t>企业资质</w:t>
            </w:r>
          </w:p>
          <w:p>
            <w:pPr>
              <w:spacing w:line="280" w:lineRule="exact"/>
            </w:pPr>
            <w:r>
              <w:rPr>
                <w:rFonts w:hint="eastAsia"/>
              </w:rPr>
              <w:t>国/地监督检查</w:t>
            </w:r>
          </w:p>
          <w:p>
            <w:pPr>
              <w:spacing w:line="280" w:lineRule="exact"/>
            </w:pPr>
            <w:r>
              <w:rPr>
                <w:rFonts w:hint="eastAsia"/>
              </w:rPr>
              <w:t>客户和相关方投诉及处理</w:t>
            </w:r>
          </w:p>
        </w:tc>
        <w:tc>
          <w:tcPr>
            <w:tcW w:w="9848" w:type="dxa"/>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该公司2018年5月21日成立，法人：田月华，总经理/管理者代表：王益枫。</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注册地址：浙江省杭州市萧山区城厢街道湘湖路36-12号。统一社会信用代码：91330104MA2B2XF66X；营业期限：2018年5月21日至长期；范围：技术服务、技术开发，再生资源回收，生活垃圾处理装备制造，信息咨询服务，城市生活垃圾经营性服务（许可范围内）。</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ind w:firstLine="400" w:firstLineChars="200"/>
              <w:rPr>
                <w:sz w:val="20"/>
              </w:rPr>
            </w:pPr>
            <w:bookmarkStart w:id="0" w:name="审核范围"/>
            <w:r>
              <w:rPr>
                <w:sz w:val="20"/>
              </w:rPr>
              <w:t>Q：城市生活垃圾分类、再生资源销售、环卫平台软件开发及销售</w:t>
            </w:r>
          </w:p>
          <w:p>
            <w:pPr>
              <w:ind w:firstLine="400" w:firstLineChars="200"/>
              <w:rPr>
                <w:sz w:val="20"/>
              </w:rPr>
            </w:pPr>
            <w:r>
              <w:rPr>
                <w:sz w:val="20"/>
              </w:rPr>
              <w:t>E：城市生活垃圾分类、再生资源销售、环卫平台软件开发及销售所涉及场所的相关环境管理活动</w:t>
            </w:r>
          </w:p>
          <w:p>
            <w:pPr>
              <w:spacing w:line="280" w:lineRule="exact"/>
              <w:ind w:firstLine="400" w:firstLineChars="200"/>
              <w:rPr>
                <w:sz w:val="20"/>
              </w:rPr>
            </w:pPr>
            <w:r>
              <w:rPr>
                <w:sz w:val="20"/>
              </w:rPr>
              <w:t>O：城市生活垃圾分类、再生资源销售、环卫平台软件开发及销售所涉及场所的相关职业健康安全管理活动</w:t>
            </w:r>
            <w:bookmarkEnd w:id="0"/>
          </w:p>
          <w:p>
            <w:pPr>
              <w:pStyle w:val="2"/>
              <w:jc w:val="left"/>
              <w:rPr>
                <w:rFonts w:hint="default" w:eastAsia="宋体"/>
                <w:lang w:val="en-US" w:eastAsia="zh-CN"/>
              </w:rPr>
            </w:pPr>
            <w:r>
              <w:rPr>
                <w:rFonts w:hint="eastAsia" w:eastAsia="宋体"/>
                <w:sz w:val="20"/>
                <w:lang w:val="en-US" w:eastAsia="zh-CN"/>
              </w:rPr>
              <w:t>本次为认证范围扩项补充审核，扩项内容：</w:t>
            </w:r>
            <w:r>
              <w:rPr>
                <w:sz w:val="20"/>
              </w:rPr>
              <w:t>城市生活垃圾分类</w:t>
            </w:r>
          </w:p>
          <w:p>
            <w:pPr>
              <w:spacing w:line="280" w:lineRule="exact"/>
              <w:ind w:firstLine="420" w:firstLineChars="200"/>
              <w:rPr>
                <w:rFonts w:ascii="宋体" w:hAnsi="宋体" w:cs="宋体"/>
                <w:szCs w:val="21"/>
              </w:rPr>
            </w:pPr>
            <w:r>
              <w:rPr>
                <w:rFonts w:hint="eastAsia" w:ascii="宋体" w:hAnsi="宋体" w:cs="宋体"/>
                <w:szCs w:val="21"/>
              </w:rPr>
              <w:t>公司现有</w:t>
            </w:r>
            <w:r>
              <w:rPr>
                <w:rFonts w:hint="eastAsia" w:ascii="宋体" w:hAnsi="宋体" w:cs="宋体"/>
                <w:szCs w:val="21"/>
                <w:lang w:val="en-US" w:eastAsia="zh-CN"/>
              </w:rPr>
              <w:t>5</w:t>
            </w:r>
            <w:r>
              <w:rPr>
                <w:rFonts w:hint="eastAsia" w:ascii="宋体" w:hAnsi="宋体" w:cs="宋体"/>
                <w:szCs w:val="21"/>
              </w:rPr>
              <w:t>个职能部门：</w:t>
            </w:r>
            <w:r>
              <w:rPr>
                <w:rFonts w:hint="eastAsia" w:ascii="宋体" w:hAnsi="宋体" w:cs="宋体"/>
                <w:szCs w:val="21"/>
                <w:lang w:val="en-US" w:eastAsia="zh-CN"/>
              </w:rPr>
              <w:t>技术部</w:t>
            </w:r>
            <w:r>
              <w:rPr>
                <w:rFonts w:hint="eastAsia" w:ascii="宋体" w:hAnsi="宋体" w:cs="宋体"/>
                <w:szCs w:val="21"/>
              </w:rPr>
              <w:t>、</w:t>
            </w:r>
            <w:r>
              <w:rPr>
                <w:rFonts w:hint="eastAsia" w:ascii="宋体" w:hAnsi="宋体" w:cs="宋体"/>
                <w:szCs w:val="21"/>
                <w:lang w:val="en-US" w:eastAsia="zh-CN"/>
              </w:rPr>
              <w:t>综合部、市场部</w:t>
            </w:r>
            <w:r>
              <w:rPr>
                <w:rFonts w:hint="eastAsia" w:ascii="宋体" w:hAnsi="宋体" w:cs="宋体"/>
                <w:szCs w:val="21"/>
              </w:rPr>
              <w:t>、</w:t>
            </w:r>
            <w:r>
              <w:rPr>
                <w:rFonts w:hint="eastAsia" w:ascii="宋体" w:hAnsi="宋体" w:cs="宋体"/>
                <w:szCs w:val="21"/>
                <w:lang w:val="en-US" w:eastAsia="zh-CN"/>
              </w:rPr>
              <w:t>运营部</w:t>
            </w:r>
            <w:r>
              <w:rPr>
                <w:rFonts w:hint="eastAsia" w:ascii="宋体" w:hAnsi="宋体" w:cs="宋体"/>
                <w:szCs w:val="21"/>
              </w:rPr>
              <w:t>和财务部；查“职能分配表”各部门职责权限基本明确。</w:t>
            </w:r>
          </w:p>
          <w:p>
            <w:pPr>
              <w:spacing w:line="280" w:lineRule="exact"/>
              <w:ind w:firstLine="420"/>
              <w:rPr>
                <w:rFonts w:hint="eastAsia" w:ascii="宋体" w:hAnsi="宋体" w:cs="宋体"/>
                <w:szCs w:val="21"/>
              </w:rPr>
            </w:pPr>
            <w:r>
              <w:rPr>
                <w:rFonts w:hint="eastAsia" w:ascii="宋体" w:hAnsi="宋体" w:cs="宋体"/>
                <w:szCs w:val="21"/>
              </w:rPr>
              <w:t>受审核方在建立质量、环境和职业健康安理体系预期结果的各种内部因素和外部因素，结合企业的发展、考虑并制定了与企业发展的战略规划。总经理确定与本公司管理目标和战略方向相关并影响社会因素等。这些因素包括了需要考虑的正面和负面因素或条件。作外部和内部因素的分析，外部因素考虑本地失业率、教育水平、组织市场占有率、业主增长趋势等方面；内部因素分析较多，分别从财务因素、基础设施、人员能力等因素展开，采用结果导向分析法；日常会议上常议以上各因素，以实现监测和评审，并输出未来发展规划。体系运行以来，没有发生重大顾客投诉、环境或职业健康安全事故等。</w:t>
            </w:r>
          </w:p>
        </w:tc>
        <w:tc>
          <w:tcPr>
            <w:tcW w:w="155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24" w:type="dxa"/>
          </w:tcPr>
          <w:p>
            <w:r>
              <w:rPr>
                <w:rFonts w:hint="eastAsia"/>
              </w:rPr>
              <w:t>理解相关方的需求和期望</w:t>
            </w:r>
          </w:p>
        </w:tc>
        <w:tc>
          <w:tcPr>
            <w:tcW w:w="1179" w:type="dxa"/>
          </w:tcPr>
          <w:p>
            <w:r>
              <w:t>QEO</w:t>
            </w:r>
            <w:r>
              <w:rPr>
                <w:rFonts w:hint="eastAsia"/>
              </w:rPr>
              <w:t>4.2</w:t>
            </w:r>
          </w:p>
        </w:tc>
        <w:tc>
          <w:tcPr>
            <w:tcW w:w="9848"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公司制定了《相关方需求和期望控制程序》，确定了与本公司体系有关的相关方，并进行有效控制。</w:t>
            </w:r>
          </w:p>
          <w:p>
            <w:pPr>
              <w:spacing w:line="280" w:lineRule="exact"/>
              <w:ind w:firstLine="420" w:firstLineChars="200"/>
              <w:rPr>
                <w:rFonts w:hint="eastAsia" w:ascii="宋体" w:hAnsi="宋体" w:cs="宋体"/>
                <w:szCs w:val="21"/>
              </w:rPr>
            </w:pPr>
            <w:r>
              <w:rPr>
                <w:rFonts w:hint="eastAsia" w:ascii="宋体" w:hAnsi="宋体" w:cs="宋体"/>
                <w:szCs w:val="21"/>
              </w:rPr>
              <w:t>公司相关方主要有：顾客、劳务人员、供方、政府机构、法律法规及监管机关、员工、审核机构。</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相关方和其需求和期望列举如下：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420"/>
              <w:gridCol w:w="363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top"/>
                </w:tcPr>
                <w:p>
                  <w:pPr>
                    <w:jc w:val="center"/>
                    <w:rPr>
                      <w:rFonts w:ascii="楷体" w:hAnsi="楷体" w:eastAsia="楷体"/>
                    </w:rPr>
                  </w:pPr>
                  <w:r>
                    <w:rPr>
                      <w:rFonts w:hint="eastAsia" w:ascii="楷体" w:hAnsi="楷体" w:eastAsia="楷体"/>
                    </w:rPr>
                    <w:t>相关方</w:t>
                  </w:r>
                </w:p>
              </w:tc>
              <w:tc>
                <w:tcPr>
                  <w:tcW w:w="1777" w:type="pct"/>
                  <w:noWrap w:val="0"/>
                  <w:vAlign w:val="top"/>
                </w:tcPr>
                <w:p>
                  <w:pPr>
                    <w:jc w:val="center"/>
                    <w:rPr>
                      <w:rFonts w:ascii="楷体" w:hAnsi="楷体" w:eastAsia="楷体"/>
                    </w:rPr>
                  </w:pPr>
                  <w:r>
                    <w:rPr>
                      <w:rFonts w:hint="eastAsia" w:ascii="楷体" w:hAnsi="楷体" w:eastAsia="楷体"/>
                    </w:rPr>
                    <w:t>需求及期望描述</w:t>
                  </w:r>
                </w:p>
              </w:tc>
              <w:tc>
                <w:tcPr>
                  <w:tcW w:w="1888" w:type="pct"/>
                  <w:noWrap w:val="0"/>
                  <w:vAlign w:val="top"/>
                </w:tcPr>
                <w:p>
                  <w:pPr>
                    <w:jc w:val="center"/>
                    <w:rPr>
                      <w:rFonts w:ascii="楷体" w:hAnsi="楷体" w:eastAsia="楷体"/>
                    </w:rPr>
                  </w:pPr>
                  <w:r>
                    <w:rPr>
                      <w:rFonts w:hint="eastAsia" w:ascii="楷体" w:hAnsi="楷体" w:eastAsia="楷体"/>
                    </w:rPr>
                    <w:t>应对措施</w:t>
                  </w:r>
                </w:p>
              </w:tc>
              <w:tc>
                <w:tcPr>
                  <w:tcW w:w="777" w:type="pct"/>
                  <w:noWrap w:val="0"/>
                  <w:vAlign w:val="top"/>
                </w:tcPr>
                <w:p>
                  <w:pPr>
                    <w:jc w:val="center"/>
                    <w:rPr>
                      <w:rFonts w:ascii="楷体" w:hAnsi="楷体" w:eastAsia="楷体"/>
                    </w:rPr>
                  </w:pPr>
                  <w:r>
                    <w:rPr>
                      <w:rFonts w:hint="eastAsia" w:ascii="楷体" w:hAnsi="楷体" w:eastAsia="楷体"/>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顾客（甲方）</w:t>
                  </w:r>
                </w:p>
              </w:tc>
              <w:tc>
                <w:tcPr>
                  <w:tcW w:w="1777" w:type="pct"/>
                  <w:noWrap w:val="0"/>
                  <w:vAlign w:val="center"/>
                </w:tcPr>
                <w:p>
                  <w:pPr>
                    <w:pStyle w:val="16"/>
                    <w:numPr>
                      <w:ilvl w:val="0"/>
                      <w:numId w:val="1"/>
                    </w:numPr>
                    <w:ind w:firstLineChars="0"/>
                    <w:rPr>
                      <w:rFonts w:hint="eastAsia" w:ascii="楷体" w:hAnsi="楷体" w:eastAsia="楷体"/>
                    </w:rPr>
                  </w:pPr>
                  <w:r>
                    <w:rPr>
                      <w:rFonts w:hint="eastAsia" w:ascii="楷体" w:hAnsi="楷体" w:eastAsia="楷体"/>
                    </w:rPr>
                    <w:t>建立有效的质量、环境及职业健康安全管理体系并运行；</w:t>
                  </w:r>
                </w:p>
                <w:p>
                  <w:pPr>
                    <w:pStyle w:val="16"/>
                    <w:numPr>
                      <w:ilvl w:val="0"/>
                      <w:numId w:val="1"/>
                    </w:numPr>
                    <w:ind w:firstLineChars="0"/>
                    <w:rPr>
                      <w:rFonts w:ascii="楷体" w:hAnsi="楷体" w:eastAsia="楷体"/>
                    </w:rPr>
                  </w:pPr>
                  <w:r>
                    <w:rPr>
                      <w:rFonts w:hint="eastAsia" w:ascii="楷体" w:hAnsi="楷体" w:eastAsia="楷体"/>
                    </w:rPr>
                    <w:t>持续满足合同要求的服务质量</w:t>
                  </w:r>
                </w:p>
              </w:tc>
              <w:tc>
                <w:tcPr>
                  <w:tcW w:w="1888" w:type="pct"/>
                  <w:noWrap w:val="0"/>
                  <w:vAlign w:val="center"/>
                </w:tcPr>
                <w:p>
                  <w:pPr>
                    <w:pStyle w:val="16"/>
                    <w:numPr>
                      <w:ilvl w:val="0"/>
                      <w:numId w:val="2"/>
                    </w:numPr>
                    <w:ind w:firstLineChars="0"/>
                    <w:rPr>
                      <w:rFonts w:hint="eastAsia" w:ascii="楷体" w:hAnsi="楷体" w:eastAsia="楷体"/>
                    </w:rPr>
                  </w:pPr>
                  <w:r>
                    <w:rPr>
                      <w:rFonts w:hint="eastAsia" w:ascii="楷体" w:hAnsi="楷体" w:eastAsia="楷体"/>
                    </w:rPr>
                    <w:t>在公司内部建立</w:t>
                  </w:r>
                  <w:r>
                    <w:rPr>
                      <w:rFonts w:hint="eastAsia" w:ascii="楷体" w:hAnsi="楷体" w:eastAsia="楷体"/>
                      <w:lang w:eastAsia="zh-CN"/>
                    </w:rPr>
                    <w:t>ISO9001：2015</w:t>
                  </w:r>
                  <w:r>
                    <w:rPr>
                      <w:rFonts w:hint="eastAsia" w:ascii="楷体" w:hAnsi="楷体" w:eastAsia="楷体"/>
                    </w:rPr>
                    <w:t>、</w:t>
                  </w:r>
                  <w:r>
                    <w:rPr>
                      <w:rFonts w:hint="eastAsia" w:ascii="楷体" w:hAnsi="楷体" w:eastAsia="楷体"/>
                      <w:lang w:eastAsia="zh-CN"/>
                    </w:rPr>
                    <w:t>ISO14001：2015</w:t>
                  </w:r>
                  <w:r>
                    <w:rPr>
                      <w:rFonts w:hint="eastAsia" w:ascii="楷体" w:hAnsi="楷体" w:eastAsia="楷体"/>
                    </w:rPr>
                    <w:t>及</w:t>
                  </w:r>
                  <w:r>
                    <w:rPr>
                      <w:rFonts w:hint="eastAsia" w:ascii="楷体" w:hAnsi="楷体" w:eastAsia="楷体"/>
                      <w:lang w:eastAsia="zh-CN"/>
                    </w:rPr>
                    <w:t>ISO45001：2018</w:t>
                  </w:r>
                  <w:r>
                    <w:rPr>
                      <w:rFonts w:hint="eastAsia" w:ascii="楷体" w:hAnsi="楷体" w:eastAsia="楷体"/>
                    </w:rPr>
                    <w:t>管理体系，并在公司内部有效实施；</w:t>
                  </w:r>
                </w:p>
                <w:p>
                  <w:pPr>
                    <w:pStyle w:val="16"/>
                    <w:numPr>
                      <w:ilvl w:val="0"/>
                      <w:numId w:val="2"/>
                    </w:numPr>
                    <w:ind w:firstLineChars="0"/>
                    <w:rPr>
                      <w:rFonts w:ascii="楷体" w:hAnsi="楷体" w:eastAsia="楷体"/>
                    </w:rPr>
                  </w:pPr>
                  <w:r>
                    <w:rPr>
                      <w:rFonts w:hint="eastAsia" w:ascii="楷体" w:hAnsi="楷体" w:eastAsia="楷体"/>
                    </w:rPr>
                    <w:t>通过甲方要求的识别、评审及转化，建立有针对性的服务方案实现顾客（甲方）的要求及期望</w:t>
                  </w:r>
                </w:p>
              </w:tc>
              <w:tc>
                <w:tcPr>
                  <w:tcW w:w="777" w:type="pct"/>
                  <w:noWrap w:val="0"/>
                  <w:vAlign w:val="center"/>
                </w:tcPr>
                <w:p>
                  <w:pPr>
                    <w:rPr>
                      <w:rFonts w:ascii="楷体" w:hAnsi="楷体" w:eastAsia="楷体"/>
                    </w:rPr>
                  </w:pPr>
                  <w:r>
                    <w:rPr>
                      <w:rFonts w:hint="eastAsia" w:ascii="楷体" w:hAnsi="楷体" w:eastAsia="楷体"/>
                    </w:rPr>
                    <w:t>基本按应对的措施控制管理，基本满足要求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外部供方</w:t>
                  </w:r>
                </w:p>
              </w:tc>
              <w:tc>
                <w:tcPr>
                  <w:tcW w:w="1777" w:type="pct"/>
                  <w:noWrap w:val="0"/>
                  <w:vAlign w:val="center"/>
                </w:tcPr>
                <w:p>
                  <w:pPr>
                    <w:pStyle w:val="16"/>
                    <w:numPr>
                      <w:ilvl w:val="0"/>
                      <w:numId w:val="3"/>
                    </w:numPr>
                    <w:ind w:firstLineChars="0"/>
                    <w:rPr>
                      <w:rFonts w:hint="eastAsia" w:ascii="楷体" w:hAnsi="楷体" w:eastAsia="楷体"/>
                    </w:rPr>
                  </w:pPr>
                  <w:r>
                    <w:rPr>
                      <w:rFonts w:hint="eastAsia" w:ascii="楷体" w:hAnsi="楷体" w:eastAsia="楷体"/>
                    </w:rPr>
                    <w:t>稳定、持续的开展双方的业务合作；</w:t>
                  </w:r>
                </w:p>
                <w:p>
                  <w:pPr>
                    <w:pStyle w:val="16"/>
                    <w:numPr>
                      <w:ilvl w:val="0"/>
                      <w:numId w:val="3"/>
                    </w:numPr>
                    <w:ind w:firstLineChars="0"/>
                    <w:rPr>
                      <w:rFonts w:hint="eastAsia" w:ascii="楷体" w:hAnsi="楷体" w:eastAsia="楷体"/>
                    </w:rPr>
                  </w:pPr>
                  <w:r>
                    <w:rPr>
                      <w:rFonts w:hint="eastAsia" w:ascii="楷体" w:hAnsi="楷体" w:eastAsia="楷体"/>
                    </w:rPr>
                    <w:t>通过双方的深度合作降低外部供方的成本，提升供就链的持续竞争力</w:t>
                  </w:r>
                </w:p>
                <w:p>
                  <w:pPr>
                    <w:pStyle w:val="16"/>
                    <w:numPr>
                      <w:ilvl w:val="0"/>
                      <w:numId w:val="3"/>
                    </w:numPr>
                    <w:ind w:firstLineChars="0"/>
                    <w:rPr>
                      <w:rFonts w:ascii="楷体" w:hAnsi="楷体" w:eastAsia="楷体"/>
                    </w:rPr>
                  </w:pPr>
                  <w:r>
                    <w:rPr>
                      <w:rFonts w:hint="eastAsia" w:ascii="楷体" w:hAnsi="楷体" w:eastAsia="楷体"/>
                    </w:rPr>
                    <w:t>提供供方更先进、更规范化、更有竞争力的管理制度促进供方持续改善，提高供方的水平，实现真正意义上的双赢</w:t>
                  </w:r>
                </w:p>
              </w:tc>
              <w:tc>
                <w:tcPr>
                  <w:tcW w:w="1888" w:type="pct"/>
                  <w:noWrap w:val="0"/>
                  <w:vAlign w:val="center"/>
                </w:tcPr>
                <w:p>
                  <w:pPr>
                    <w:pStyle w:val="16"/>
                    <w:numPr>
                      <w:ilvl w:val="0"/>
                      <w:numId w:val="4"/>
                    </w:numPr>
                    <w:ind w:firstLineChars="0"/>
                    <w:rPr>
                      <w:rFonts w:hint="eastAsia" w:ascii="楷体" w:hAnsi="楷体" w:eastAsia="楷体"/>
                    </w:rPr>
                  </w:pPr>
                  <w:r>
                    <w:rPr>
                      <w:rFonts w:hint="eastAsia" w:ascii="楷体" w:hAnsi="楷体" w:eastAsia="楷体"/>
                    </w:rPr>
                    <w:t>持续推动一体化战略，建立与供方稳定的战略联盟关系；</w:t>
                  </w:r>
                </w:p>
                <w:p>
                  <w:pPr>
                    <w:pStyle w:val="16"/>
                    <w:numPr>
                      <w:ilvl w:val="0"/>
                      <w:numId w:val="4"/>
                    </w:numPr>
                    <w:ind w:firstLineChars="0"/>
                    <w:rPr>
                      <w:rFonts w:hint="eastAsia" w:ascii="楷体" w:hAnsi="楷体" w:eastAsia="楷体"/>
                    </w:rPr>
                  </w:pPr>
                  <w:r>
                    <w:rPr>
                      <w:rFonts w:hint="eastAsia" w:ascii="楷体" w:hAnsi="楷体" w:eastAsia="楷体"/>
                    </w:rPr>
                    <w:t>加大对供方的供货及服务质量监督力度，提升供方供货质量及服务水平，持续有效的降低供方的成本</w:t>
                  </w:r>
                </w:p>
                <w:p>
                  <w:pPr>
                    <w:pStyle w:val="16"/>
                    <w:numPr>
                      <w:ilvl w:val="0"/>
                      <w:numId w:val="4"/>
                    </w:numPr>
                    <w:ind w:firstLineChars="0"/>
                    <w:rPr>
                      <w:rFonts w:ascii="楷体" w:hAnsi="楷体" w:eastAsia="楷体"/>
                    </w:rPr>
                  </w:pPr>
                  <w:r>
                    <w:rPr>
                      <w:rFonts w:hint="eastAsia" w:ascii="楷体" w:hAnsi="楷体" w:eastAsia="楷体"/>
                    </w:rPr>
                    <w:t>通过公司建立</w:t>
                  </w:r>
                  <w:r>
                    <w:rPr>
                      <w:rFonts w:hint="eastAsia" w:ascii="楷体" w:hAnsi="楷体" w:eastAsia="楷体"/>
                      <w:lang w:eastAsia="zh-CN"/>
                    </w:rPr>
                    <w:t>ISO9001：2015</w:t>
                  </w:r>
                  <w:r>
                    <w:rPr>
                      <w:rFonts w:hint="eastAsia" w:ascii="楷体" w:hAnsi="楷体" w:eastAsia="楷体"/>
                    </w:rPr>
                    <w:t>、</w:t>
                  </w:r>
                  <w:r>
                    <w:rPr>
                      <w:rFonts w:hint="eastAsia" w:ascii="楷体" w:hAnsi="楷体" w:eastAsia="楷体"/>
                      <w:lang w:eastAsia="zh-CN"/>
                    </w:rPr>
                    <w:t>ISO14001：2015</w:t>
                  </w:r>
                  <w:r>
                    <w:rPr>
                      <w:rFonts w:hint="eastAsia" w:ascii="楷体" w:hAnsi="楷体" w:eastAsia="楷体"/>
                    </w:rPr>
                    <w:t>及</w:t>
                  </w:r>
                  <w:r>
                    <w:rPr>
                      <w:rFonts w:hint="eastAsia" w:ascii="楷体" w:hAnsi="楷体" w:eastAsia="楷体"/>
                      <w:lang w:eastAsia="zh-CN"/>
                    </w:rPr>
                    <w:t>ISO45001：2018</w:t>
                  </w:r>
                  <w:r>
                    <w:rPr>
                      <w:rFonts w:hint="eastAsia" w:ascii="楷体" w:hAnsi="楷体" w:eastAsia="楷体"/>
                    </w:rPr>
                    <w:t xml:space="preserve">管理体系，对供方持续的施加影响 </w:t>
                  </w:r>
                </w:p>
              </w:tc>
              <w:tc>
                <w:tcPr>
                  <w:tcW w:w="777" w:type="pct"/>
                  <w:noWrap w:val="0"/>
                  <w:vAlign w:val="center"/>
                </w:tcPr>
                <w:p>
                  <w:pPr>
                    <w:rPr>
                      <w:rFonts w:ascii="楷体" w:hAnsi="楷体" w:eastAsia="楷体"/>
                    </w:rPr>
                  </w:pPr>
                  <w:r>
                    <w:rPr>
                      <w:rFonts w:hint="eastAsia" w:ascii="楷体" w:hAnsi="楷体" w:eastAsia="楷体"/>
                    </w:rPr>
                    <w:t>基本按应对的措施控制管理，符合要求基本满足要求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员工</w:t>
                  </w:r>
                </w:p>
              </w:tc>
              <w:tc>
                <w:tcPr>
                  <w:tcW w:w="1777" w:type="pct"/>
                  <w:noWrap w:val="0"/>
                  <w:vAlign w:val="center"/>
                </w:tcPr>
                <w:p>
                  <w:pPr>
                    <w:pStyle w:val="16"/>
                    <w:numPr>
                      <w:ilvl w:val="0"/>
                      <w:numId w:val="5"/>
                    </w:numPr>
                    <w:ind w:firstLineChars="0"/>
                    <w:rPr>
                      <w:rFonts w:hint="eastAsia" w:ascii="楷体" w:hAnsi="楷体" w:eastAsia="楷体"/>
                    </w:rPr>
                  </w:pPr>
                  <w:r>
                    <w:rPr>
                      <w:rFonts w:hint="eastAsia" w:ascii="楷体" w:hAnsi="楷体" w:eastAsia="楷体"/>
                    </w:rPr>
                    <w:t>个人能力及职位得到提升；</w:t>
                  </w:r>
                </w:p>
                <w:p>
                  <w:pPr>
                    <w:pStyle w:val="16"/>
                    <w:numPr>
                      <w:ilvl w:val="0"/>
                      <w:numId w:val="5"/>
                    </w:numPr>
                    <w:ind w:firstLineChars="0"/>
                    <w:rPr>
                      <w:rFonts w:hint="eastAsia" w:ascii="楷体" w:hAnsi="楷体" w:eastAsia="楷体"/>
                    </w:rPr>
                  </w:pPr>
                  <w:r>
                    <w:rPr>
                      <w:rFonts w:hint="eastAsia" w:ascii="楷体" w:hAnsi="楷体" w:eastAsia="楷体"/>
                    </w:rPr>
                    <w:t>福利措施的持续满足</w:t>
                  </w:r>
                </w:p>
                <w:p>
                  <w:pPr>
                    <w:pStyle w:val="16"/>
                    <w:numPr>
                      <w:ilvl w:val="0"/>
                      <w:numId w:val="5"/>
                    </w:numPr>
                    <w:ind w:firstLineChars="0"/>
                    <w:rPr>
                      <w:rFonts w:ascii="楷体" w:hAnsi="楷体" w:eastAsia="楷体"/>
                    </w:rPr>
                  </w:pPr>
                  <w:r>
                    <w:rPr>
                      <w:rFonts w:hint="eastAsia" w:ascii="楷体" w:hAnsi="楷体" w:eastAsia="楷体"/>
                    </w:rPr>
                    <w:t>职业健康防护的落实</w:t>
                  </w:r>
                </w:p>
              </w:tc>
              <w:tc>
                <w:tcPr>
                  <w:tcW w:w="1888" w:type="pct"/>
                  <w:noWrap w:val="0"/>
                  <w:vAlign w:val="center"/>
                </w:tcPr>
                <w:p>
                  <w:pPr>
                    <w:pStyle w:val="16"/>
                    <w:numPr>
                      <w:ilvl w:val="0"/>
                      <w:numId w:val="6"/>
                    </w:numPr>
                    <w:ind w:firstLineChars="0"/>
                    <w:rPr>
                      <w:rFonts w:hint="eastAsia" w:ascii="楷体" w:hAnsi="楷体" w:eastAsia="楷体"/>
                    </w:rPr>
                  </w:pPr>
                  <w:r>
                    <w:rPr>
                      <w:rFonts w:hint="eastAsia" w:ascii="楷体" w:hAnsi="楷体" w:eastAsia="楷体"/>
                    </w:rPr>
                    <w:t>建立规范化的人力资源及培训机制，构建更加公平、透明、规范化的岗位竞争机制；</w:t>
                  </w:r>
                </w:p>
                <w:p>
                  <w:pPr>
                    <w:pStyle w:val="16"/>
                    <w:numPr>
                      <w:ilvl w:val="0"/>
                      <w:numId w:val="6"/>
                    </w:numPr>
                    <w:ind w:firstLineChars="0"/>
                    <w:rPr>
                      <w:rFonts w:hint="eastAsia" w:ascii="楷体" w:hAnsi="楷体" w:eastAsia="楷体"/>
                    </w:rPr>
                  </w:pPr>
                  <w:r>
                    <w:rPr>
                      <w:rFonts w:hint="eastAsia" w:ascii="楷体" w:hAnsi="楷体" w:eastAsia="楷体"/>
                    </w:rPr>
                    <w:t>持续落实劳保用品、过节费、确保月休等福利措施的实施；</w:t>
                  </w:r>
                </w:p>
                <w:p>
                  <w:pPr>
                    <w:pStyle w:val="16"/>
                    <w:numPr>
                      <w:ilvl w:val="0"/>
                      <w:numId w:val="6"/>
                    </w:numPr>
                    <w:ind w:firstLineChars="0"/>
                    <w:rPr>
                      <w:rFonts w:hint="eastAsia" w:ascii="楷体" w:hAnsi="楷体" w:eastAsia="楷体"/>
                    </w:rPr>
                  </w:pPr>
                  <w:r>
                    <w:rPr>
                      <w:rFonts w:hint="eastAsia" w:ascii="楷体" w:hAnsi="楷体" w:eastAsia="楷体"/>
                    </w:rPr>
                    <w:t>建立员工健康检查机制，每年安排员工体检；</w:t>
                  </w:r>
                </w:p>
                <w:p>
                  <w:pPr>
                    <w:pStyle w:val="16"/>
                    <w:numPr>
                      <w:ilvl w:val="0"/>
                      <w:numId w:val="6"/>
                    </w:numPr>
                    <w:ind w:firstLineChars="0"/>
                    <w:rPr>
                      <w:rFonts w:ascii="楷体" w:hAnsi="楷体" w:eastAsia="楷体"/>
                    </w:rPr>
                  </w:pPr>
                  <w:r>
                    <w:rPr>
                      <w:rFonts w:hint="eastAsia" w:ascii="楷体" w:hAnsi="楷体" w:eastAsia="楷体"/>
                    </w:rPr>
                    <w:t>确保清洁员工社保及团队意外险的落实到位</w:t>
                  </w:r>
                </w:p>
              </w:tc>
              <w:tc>
                <w:tcPr>
                  <w:tcW w:w="777" w:type="pct"/>
                  <w:noWrap w:val="0"/>
                  <w:vAlign w:val="center"/>
                </w:tcPr>
                <w:p>
                  <w:pPr>
                    <w:rPr>
                      <w:rFonts w:ascii="楷体" w:hAnsi="楷体" w:eastAsia="楷体"/>
                    </w:rPr>
                  </w:pPr>
                  <w:r>
                    <w:rPr>
                      <w:rFonts w:hint="eastAsia" w:ascii="楷体" w:hAnsi="楷体" w:eastAsia="楷体"/>
                    </w:rPr>
                    <w:t>基本按应对的措施控制管理，基本满足要求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hint="eastAsia" w:ascii="楷体" w:hAnsi="楷体" w:eastAsia="楷体"/>
                      <w:lang w:eastAsia="zh-CN"/>
                    </w:rPr>
                  </w:pPr>
                  <w:r>
                    <w:rPr>
                      <w:rFonts w:hint="eastAsia" w:ascii="楷体" w:hAnsi="楷体" w:eastAsia="楷体"/>
                      <w:lang w:val="en-US" w:eastAsia="zh-CN"/>
                    </w:rPr>
                    <w:t>环保局</w:t>
                  </w:r>
                </w:p>
              </w:tc>
              <w:tc>
                <w:tcPr>
                  <w:tcW w:w="1777" w:type="pct"/>
                  <w:noWrap w:val="0"/>
                  <w:vAlign w:val="center"/>
                </w:tcPr>
                <w:p>
                  <w:pPr>
                    <w:rPr>
                      <w:rFonts w:ascii="楷体" w:hAnsi="楷体" w:eastAsia="楷体"/>
                    </w:rPr>
                  </w:pPr>
                  <w:r>
                    <w:rPr>
                      <w:rFonts w:hint="eastAsia" w:ascii="楷体" w:hAnsi="楷体" w:eastAsia="楷体"/>
                    </w:rPr>
                    <w:t>符合环境法律法规要求</w:t>
                  </w:r>
                </w:p>
              </w:tc>
              <w:tc>
                <w:tcPr>
                  <w:tcW w:w="1888" w:type="pct"/>
                  <w:noWrap w:val="0"/>
                  <w:vAlign w:val="center"/>
                </w:tcPr>
                <w:p>
                  <w:pPr>
                    <w:rPr>
                      <w:rFonts w:ascii="楷体" w:hAnsi="楷体" w:eastAsia="楷体"/>
                    </w:rPr>
                  </w:pPr>
                  <w:r>
                    <w:rPr>
                      <w:rFonts w:hint="eastAsia" w:ascii="楷体" w:hAnsi="楷体" w:eastAsia="楷体"/>
                    </w:rPr>
                    <w:t>建立</w:t>
                  </w:r>
                  <w:r>
                    <w:rPr>
                      <w:rFonts w:hint="eastAsia" w:ascii="楷体" w:hAnsi="楷体" w:eastAsia="楷体"/>
                      <w:lang w:eastAsia="zh-CN"/>
                    </w:rPr>
                    <w:t>ISO14001：2015</w:t>
                  </w:r>
                  <w:r>
                    <w:rPr>
                      <w:rFonts w:hint="eastAsia" w:ascii="楷体" w:hAnsi="楷体" w:eastAsia="楷体"/>
                    </w:rPr>
                    <w:t>管理体系并在公司实施，按要求力所能及的做好环境保护工作，如垃圾分类、废弃溶剂瓶或器皿收集处理、节能降耗等</w:t>
                  </w:r>
                </w:p>
              </w:tc>
              <w:tc>
                <w:tcPr>
                  <w:tcW w:w="777" w:type="pct"/>
                  <w:noWrap w:val="0"/>
                  <w:vAlign w:val="center"/>
                </w:tcPr>
                <w:p>
                  <w:pPr>
                    <w:rPr>
                      <w:rFonts w:ascii="楷体" w:hAnsi="楷体" w:eastAsia="楷体"/>
                    </w:rPr>
                  </w:pPr>
                  <w:r>
                    <w:rPr>
                      <w:rFonts w:hint="eastAsia" w:ascii="楷体" w:hAnsi="楷体" w:eastAsia="楷体"/>
                    </w:rPr>
                    <w:t>基本有按标准要求实施，基本满足要求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hint="eastAsia" w:ascii="楷体" w:hAnsi="楷体" w:eastAsia="楷体"/>
                      <w:lang w:eastAsia="zh-CN"/>
                    </w:rPr>
                  </w:pPr>
                  <w:r>
                    <w:rPr>
                      <w:rFonts w:hint="eastAsia" w:ascii="楷体" w:hAnsi="楷体" w:eastAsia="楷体"/>
                      <w:lang w:val="en-US" w:eastAsia="zh-CN"/>
                    </w:rPr>
                    <w:t>安监局</w:t>
                  </w:r>
                </w:p>
              </w:tc>
              <w:tc>
                <w:tcPr>
                  <w:tcW w:w="1777" w:type="pct"/>
                  <w:noWrap w:val="0"/>
                  <w:vAlign w:val="center"/>
                </w:tcPr>
                <w:p>
                  <w:pPr>
                    <w:pStyle w:val="16"/>
                    <w:numPr>
                      <w:ilvl w:val="0"/>
                      <w:numId w:val="7"/>
                    </w:numPr>
                    <w:ind w:firstLineChars="0"/>
                    <w:rPr>
                      <w:rFonts w:hint="eastAsia" w:ascii="楷体" w:hAnsi="楷体" w:eastAsia="楷体"/>
                    </w:rPr>
                  </w:pPr>
                  <w:r>
                    <w:rPr>
                      <w:rFonts w:hint="eastAsia" w:ascii="楷体" w:hAnsi="楷体" w:eastAsia="楷体"/>
                    </w:rPr>
                    <w:t>防止清洁药品泄漏伤害；</w:t>
                  </w:r>
                </w:p>
                <w:p>
                  <w:pPr>
                    <w:pStyle w:val="16"/>
                    <w:numPr>
                      <w:ilvl w:val="0"/>
                      <w:numId w:val="7"/>
                    </w:numPr>
                    <w:ind w:firstLineChars="0"/>
                    <w:rPr>
                      <w:rFonts w:ascii="楷体" w:hAnsi="楷体" w:eastAsia="楷体"/>
                    </w:rPr>
                  </w:pPr>
                  <w:r>
                    <w:rPr>
                      <w:rFonts w:hint="eastAsia" w:ascii="楷体" w:hAnsi="楷体" w:eastAsia="楷体"/>
                    </w:rPr>
                    <w:t>防止高处作业摔伤伤害等</w:t>
                  </w:r>
                </w:p>
              </w:tc>
              <w:tc>
                <w:tcPr>
                  <w:tcW w:w="1888" w:type="pct"/>
                  <w:noWrap w:val="0"/>
                  <w:vAlign w:val="center"/>
                </w:tcPr>
                <w:p>
                  <w:pPr>
                    <w:rPr>
                      <w:rFonts w:ascii="楷体" w:hAnsi="楷体" w:eastAsia="楷体"/>
                    </w:rPr>
                  </w:pPr>
                  <w:r>
                    <w:rPr>
                      <w:rFonts w:hint="eastAsia" w:ascii="楷体" w:hAnsi="楷体" w:eastAsia="楷体"/>
                    </w:rPr>
                    <w:t>建立防泄漏及高处作业摔伤伤害应急预案并根据实际情况定期演练等</w:t>
                  </w:r>
                </w:p>
              </w:tc>
              <w:tc>
                <w:tcPr>
                  <w:tcW w:w="777" w:type="pct"/>
                  <w:noWrap w:val="0"/>
                  <w:vAlign w:val="center"/>
                </w:tcPr>
                <w:p>
                  <w:pPr>
                    <w:rPr>
                      <w:rFonts w:ascii="楷体" w:hAnsi="楷体" w:eastAsia="楷体"/>
                    </w:rPr>
                  </w:pPr>
                  <w:r>
                    <w:rPr>
                      <w:rFonts w:hint="eastAsia" w:ascii="楷体" w:hAnsi="楷体" w:eastAsia="楷体"/>
                    </w:rPr>
                    <w:t>有按要求建立应急预案等基本满足要求，</w:t>
                  </w:r>
                </w:p>
              </w:tc>
            </w:tr>
          </w:tbl>
          <w:p>
            <w:pPr>
              <w:spacing w:line="280" w:lineRule="exact"/>
              <w:ind w:firstLine="420" w:firstLineChars="200"/>
              <w:rPr>
                <w:rFonts w:hint="eastAsia" w:ascii="宋体" w:hAnsi="宋体" w:cs="宋体"/>
                <w:szCs w:val="21"/>
              </w:rPr>
            </w:pPr>
            <w:r>
              <w:rPr>
                <w:rFonts w:hint="eastAsia" w:ascii="宋体" w:hAnsi="宋体" w:cs="宋体"/>
                <w:szCs w:val="21"/>
              </w:rPr>
              <w:t>企业对这些相关方制定相关要求并进行监视和评审。</w:t>
            </w:r>
          </w:p>
          <w:p>
            <w:pPr>
              <w:spacing w:line="280" w:lineRule="exact"/>
              <w:ind w:firstLine="420" w:firstLineChars="200"/>
              <w:rPr>
                <w:rFonts w:hint="eastAsia" w:ascii="宋体" w:hAnsi="宋体" w:cs="宋体"/>
                <w:szCs w:val="21"/>
              </w:rPr>
            </w:pPr>
            <w:r>
              <w:rPr>
                <w:rFonts w:hint="eastAsia" w:ascii="宋体" w:hAnsi="宋体" w:cs="宋体"/>
                <w:szCs w:val="21"/>
              </w:rPr>
              <w:t>总经理负责，依据相关法律法规、国际惯例等对相关方进行监视和评审。</w:t>
            </w:r>
          </w:p>
          <w:p>
            <w:pPr>
              <w:spacing w:line="280" w:lineRule="exact"/>
              <w:ind w:firstLine="420" w:firstLineChars="200"/>
              <w:rPr>
                <w:rFonts w:ascii="宋体" w:hAnsi="宋体" w:cs="宋体"/>
                <w:szCs w:val="21"/>
              </w:rPr>
            </w:pPr>
          </w:p>
        </w:tc>
        <w:tc>
          <w:tcPr>
            <w:tcW w:w="15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24" w:type="dxa"/>
          </w:tcPr>
          <w:p>
            <w:r>
              <w:rPr>
                <w:rFonts w:hint="eastAsia"/>
              </w:rPr>
              <w:t>质量/环境/职业健康安全管理体系及其过程</w:t>
            </w:r>
          </w:p>
        </w:tc>
        <w:tc>
          <w:tcPr>
            <w:tcW w:w="1179" w:type="dxa"/>
          </w:tcPr>
          <w:p>
            <w:r>
              <w:t>QEO</w:t>
            </w:r>
            <w:r>
              <w:rPr>
                <w:rFonts w:hint="eastAsia"/>
              </w:rPr>
              <w:t>4.4</w:t>
            </w:r>
          </w:p>
        </w:tc>
        <w:tc>
          <w:tcPr>
            <w:tcW w:w="9848" w:type="dxa"/>
          </w:tcPr>
          <w:p>
            <w:pPr>
              <w:ind w:firstLine="420" w:firstLineChars="200"/>
              <w:rPr>
                <w:rFonts w:hint="eastAsia"/>
                <w:szCs w:val="22"/>
              </w:rPr>
            </w:pPr>
            <w:r>
              <w:rPr>
                <w:rFonts w:hint="eastAsia"/>
                <w:szCs w:val="22"/>
              </w:rPr>
              <w:t>公司管理层按照 ISO9001：2015 管理体系标准、产品质量、顾客的要求、国家法律法规以及自身发展的需要，对企业管理体系进行策划，识别、确定所需的过程，建立形成文件化的管理体系。公司对整个体系进行了策划，形成了文件化的管理手册、程序文件、三级管理文件（管理制度汇编等）、外来文件以及所要</w:t>
            </w:r>
          </w:p>
          <w:p>
            <w:pPr>
              <w:rPr>
                <w:rFonts w:hint="eastAsia"/>
                <w:szCs w:val="22"/>
              </w:rPr>
            </w:pPr>
            <w:r>
              <w:rPr>
                <w:rFonts w:hint="eastAsia"/>
                <w:szCs w:val="22"/>
              </w:rPr>
              <w:t>求的记录。管理手册（编号</w:t>
            </w:r>
            <w:r>
              <w:rPr>
                <w:rFonts w:hint="eastAsia"/>
                <w:szCs w:val="22"/>
                <w:lang w:val="en-US" w:eastAsia="zh-CN"/>
              </w:rPr>
              <w:t>QD</w:t>
            </w:r>
            <w:r>
              <w:rPr>
                <w:rFonts w:hint="eastAsia"/>
                <w:szCs w:val="22"/>
              </w:rPr>
              <w:t>/QEO—</w:t>
            </w:r>
            <w:r>
              <w:rPr>
                <w:rFonts w:hint="eastAsia"/>
                <w:szCs w:val="22"/>
                <w:lang w:val="en-US" w:eastAsia="zh-CN"/>
              </w:rPr>
              <w:t>2021</w:t>
            </w:r>
            <w:r>
              <w:rPr>
                <w:rFonts w:hint="eastAsia"/>
                <w:szCs w:val="22"/>
              </w:rPr>
              <w:t>）于20</w:t>
            </w:r>
            <w:r>
              <w:rPr>
                <w:rFonts w:hint="eastAsia"/>
                <w:szCs w:val="22"/>
                <w:lang w:val="en-US" w:eastAsia="zh-CN"/>
              </w:rPr>
              <w:t>21</w:t>
            </w:r>
            <w:r>
              <w:rPr>
                <w:rFonts w:hint="eastAsia"/>
                <w:szCs w:val="22"/>
              </w:rPr>
              <w:t>.</w:t>
            </w:r>
            <w:r>
              <w:rPr>
                <w:rFonts w:hint="eastAsia"/>
                <w:szCs w:val="22"/>
                <w:lang w:val="en-US" w:eastAsia="zh-CN"/>
              </w:rPr>
              <w:t>6</w:t>
            </w:r>
            <w:r>
              <w:rPr>
                <w:rFonts w:hint="eastAsia"/>
                <w:szCs w:val="22"/>
              </w:rPr>
              <w:t>.</w:t>
            </w:r>
            <w:r>
              <w:rPr>
                <w:rFonts w:hint="eastAsia"/>
                <w:szCs w:val="22"/>
                <w:lang w:val="en-US" w:eastAsia="zh-CN"/>
              </w:rPr>
              <w:t>1</w:t>
            </w:r>
            <w:r>
              <w:rPr>
                <w:rFonts w:hint="eastAsia"/>
                <w:szCs w:val="22"/>
              </w:rPr>
              <w:t xml:space="preserve"> 生效实施。对体系及其相互关系做了描述，明确过程的方法、运作要求，配置适当的资源，实施监视和测量，收集种类信息，经分析、总结，提出持续改进的要求，使管理体系得以保持。程序文件符合质量管理体系标准要求，收集了与质量体系有关的外来文件，记录表单满足公司目前的质量体系运行的需要。</w:t>
            </w:r>
          </w:p>
          <w:p>
            <w:pPr>
              <w:ind w:firstLine="420" w:firstLineChars="200"/>
              <w:rPr>
                <w:rFonts w:hint="eastAsia"/>
                <w:szCs w:val="22"/>
              </w:rPr>
            </w:pPr>
            <w:r>
              <w:rPr>
                <w:rFonts w:hint="eastAsia"/>
                <w:szCs w:val="22"/>
              </w:rPr>
              <w:t>经审核评审，基本适宜，符合要求</w:t>
            </w:r>
          </w:p>
          <w:p>
            <w:pPr>
              <w:spacing w:line="300" w:lineRule="exact"/>
              <w:jc w:val="left"/>
            </w:pPr>
          </w:p>
        </w:tc>
        <w:tc>
          <w:tcPr>
            <w:tcW w:w="15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24" w:type="dxa"/>
          </w:tcPr>
          <w:p>
            <w:r>
              <w:rPr>
                <w:rFonts w:hint="eastAsia"/>
              </w:rPr>
              <w:t>领导作用与承诺</w:t>
            </w:r>
          </w:p>
          <w:p>
            <w:r>
              <w:rPr>
                <w:rFonts w:hint="eastAsia"/>
              </w:rPr>
              <w:t>--总则</w:t>
            </w:r>
          </w:p>
        </w:tc>
        <w:tc>
          <w:tcPr>
            <w:tcW w:w="1179" w:type="dxa"/>
          </w:tcPr>
          <w:p>
            <w:r>
              <w:rPr>
                <w:rFonts w:hint="eastAsia"/>
              </w:rPr>
              <w:t>QE</w:t>
            </w:r>
            <w:r>
              <w:t>O</w:t>
            </w:r>
          </w:p>
          <w:p>
            <w:r>
              <w:rPr>
                <w:rFonts w:hint="eastAsia"/>
              </w:rPr>
              <w:t>5.1</w:t>
            </w:r>
          </w:p>
          <w:p>
            <w:r>
              <w:rPr>
                <w:rFonts w:hint="eastAsia"/>
              </w:rPr>
              <w:t>5.1.1</w:t>
            </w:r>
          </w:p>
          <w:p/>
        </w:tc>
        <w:tc>
          <w:tcPr>
            <w:tcW w:w="9848" w:type="dxa"/>
            <w:vAlign w:val="center"/>
          </w:tcPr>
          <w:p>
            <w:pPr>
              <w:spacing w:line="280" w:lineRule="exact"/>
              <w:ind w:firstLine="420" w:firstLineChars="200"/>
              <w:rPr>
                <w:rFonts w:hint="eastAsia"/>
              </w:rPr>
            </w:pPr>
            <w:r>
              <w:rPr>
                <w:rFonts w:hint="eastAsia"/>
              </w:rPr>
              <w:t>经与企业总经理、管代沟通交流，了解相关领导作用与职责，基本能回答清楚。</w:t>
            </w:r>
          </w:p>
          <w:p>
            <w:pPr>
              <w:spacing w:line="280" w:lineRule="exact"/>
              <w:ind w:firstLine="420" w:firstLineChars="200"/>
              <w:rPr>
                <w:rFonts w:hint="eastAsia"/>
              </w:rPr>
            </w:pPr>
            <w:r>
              <w:rPr>
                <w:rFonts w:hint="eastAsia"/>
              </w:rPr>
              <w:t xml:space="preserve">提供管理手册（编号 </w:t>
            </w:r>
            <w:r>
              <w:rPr>
                <w:rFonts w:hint="eastAsia"/>
                <w:szCs w:val="22"/>
                <w:lang w:val="en-US" w:eastAsia="zh-CN"/>
              </w:rPr>
              <w:t>QD</w:t>
            </w:r>
            <w:r>
              <w:rPr>
                <w:rFonts w:hint="eastAsia"/>
                <w:szCs w:val="22"/>
              </w:rPr>
              <w:t>/QEO—</w:t>
            </w:r>
            <w:r>
              <w:rPr>
                <w:rFonts w:hint="eastAsia"/>
                <w:szCs w:val="22"/>
                <w:lang w:val="en-US" w:eastAsia="zh-CN"/>
              </w:rPr>
              <w:t>2021</w:t>
            </w:r>
            <w:r>
              <w:rPr>
                <w:rFonts w:hint="eastAsia"/>
              </w:rPr>
              <w:t>），规定了</w:t>
            </w:r>
            <w:r>
              <w:rPr>
                <w:rFonts w:hint="eastAsia"/>
                <w:lang w:eastAsia="zh-CN"/>
              </w:rPr>
              <w:t>运营部</w:t>
            </w:r>
            <w:r>
              <w:rPr>
                <w:rFonts w:hint="eastAsia"/>
              </w:rPr>
              <w:t>、</w:t>
            </w:r>
            <w:r>
              <w:rPr>
                <w:rFonts w:hint="eastAsia"/>
                <w:lang w:eastAsia="zh-CN"/>
              </w:rPr>
              <w:t>综合部</w:t>
            </w:r>
            <w:r>
              <w:rPr>
                <w:rFonts w:hint="eastAsia"/>
              </w:rPr>
              <w:t>、</w:t>
            </w:r>
            <w:r>
              <w:rPr>
                <w:rFonts w:hint="eastAsia"/>
                <w:lang w:eastAsia="zh-CN"/>
              </w:rPr>
              <w:t>市场部</w:t>
            </w:r>
            <w:r>
              <w:rPr>
                <w:rFonts w:hint="eastAsia"/>
              </w:rPr>
              <w:t>、</w:t>
            </w:r>
            <w:r>
              <w:rPr>
                <w:rFonts w:hint="eastAsia"/>
                <w:lang w:val="en-US" w:eastAsia="zh-CN"/>
              </w:rPr>
              <w:t>技术</w:t>
            </w:r>
            <w:r>
              <w:rPr>
                <w:rFonts w:hint="eastAsia"/>
              </w:rPr>
              <w:t>部等各部门的职责，基本符合。</w:t>
            </w:r>
          </w:p>
          <w:p>
            <w:pPr>
              <w:spacing w:line="280" w:lineRule="exact"/>
              <w:ind w:firstLine="420" w:firstLineChars="200"/>
              <w:rPr>
                <w:rFonts w:hint="eastAsia"/>
              </w:rPr>
            </w:pPr>
            <w:r>
              <w:rPr>
                <w:rFonts w:hint="eastAsia"/>
              </w:rPr>
              <w:t>制订了 QES 方针，并确认了公司的质量、环境、职业健康安全的目标，为 QES 体系运行提供了充足的资源。</w:t>
            </w:r>
          </w:p>
          <w:p>
            <w:pPr>
              <w:spacing w:line="300" w:lineRule="exact"/>
              <w:ind w:firstLine="420" w:firstLineChars="200"/>
              <w:jc w:val="left"/>
              <w:rPr>
                <w:rFonts w:hint="eastAsia"/>
              </w:rPr>
            </w:pPr>
            <w:r>
              <w:rPr>
                <w:rFonts w:hint="eastAsia"/>
              </w:rPr>
              <w:t>公司总经理</w:t>
            </w:r>
            <w:r>
              <w:rPr>
                <w:rFonts w:hint="eastAsia"/>
                <w:lang w:eastAsia="zh-CN"/>
              </w:rPr>
              <w:t>田月华</w:t>
            </w:r>
            <w:r>
              <w:rPr>
                <w:rFonts w:hint="eastAsia"/>
              </w:rPr>
              <w:t xml:space="preserve"> 介绍主要承诺有：</w:t>
            </w:r>
          </w:p>
          <w:p>
            <w:pPr>
              <w:spacing w:line="300" w:lineRule="exact"/>
              <w:ind w:firstLine="420" w:firstLineChars="200"/>
              <w:jc w:val="left"/>
              <w:rPr>
                <w:rFonts w:hint="eastAsia"/>
              </w:rPr>
            </w:pPr>
            <w:r>
              <w:rPr>
                <w:rFonts w:hint="eastAsia"/>
              </w:rPr>
              <w:t>1)对管理体系的有效性要承担责任；</w:t>
            </w:r>
          </w:p>
          <w:p>
            <w:pPr>
              <w:spacing w:line="300" w:lineRule="exact"/>
              <w:ind w:firstLine="420" w:firstLineChars="200"/>
              <w:jc w:val="left"/>
              <w:rPr>
                <w:rFonts w:hint="eastAsia"/>
              </w:rPr>
            </w:pPr>
            <w:r>
              <w:rPr>
                <w:rFonts w:hint="eastAsia"/>
              </w:rPr>
              <w:t>2)建立公司的管理方针和目标并确保与公司的环境相适应，与公司战略方向保持一致以及方针在公司内得到沟通理解和有效实施； </w:t>
            </w:r>
          </w:p>
          <w:p>
            <w:pPr>
              <w:spacing w:line="300" w:lineRule="exact"/>
              <w:ind w:firstLine="420" w:firstLineChars="200"/>
              <w:jc w:val="left"/>
              <w:rPr>
                <w:rFonts w:hint="eastAsia"/>
              </w:rPr>
            </w:pPr>
            <w:r>
              <w:rPr>
                <w:rFonts w:hint="eastAsia"/>
              </w:rPr>
              <w:t>3）确保管理体系要求融入公司的城市生活垃圾分类过程。</w:t>
            </w:r>
          </w:p>
          <w:p>
            <w:pPr>
              <w:spacing w:line="300" w:lineRule="exact"/>
              <w:ind w:firstLine="420" w:firstLineChars="200"/>
              <w:jc w:val="left"/>
              <w:rPr>
                <w:rFonts w:hint="eastAsia"/>
              </w:rPr>
            </w:pPr>
            <w:r>
              <w:rPr>
                <w:rFonts w:hint="eastAsia"/>
              </w:rPr>
              <w:t>4）促进使用过程方法和机遇风险的思维。</w:t>
            </w:r>
          </w:p>
          <w:p>
            <w:pPr>
              <w:spacing w:line="300" w:lineRule="exact"/>
              <w:ind w:firstLine="420" w:firstLineChars="200"/>
              <w:jc w:val="left"/>
              <w:rPr>
                <w:rFonts w:hint="eastAsia"/>
              </w:rPr>
            </w:pPr>
            <w:r>
              <w:rPr>
                <w:rFonts w:hint="eastAsia"/>
              </w:rPr>
              <w:t>5)建立合理的公司组织结构,确保管理体系所需资源能被获得；</w:t>
            </w:r>
          </w:p>
          <w:p>
            <w:pPr>
              <w:spacing w:line="300" w:lineRule="exact"/>
              <w:ind w:firstLine="420" w:firstLineChars="200"/>
              <w:jc w:val="left"/>
              <w:rPr>
                <w:rFonts w:hint="eastAsia"/>
              </w:rPr>
            </w:pPr>
            <w:r>
              <w:rPr>
                <w:rFonts w:hint="eastAsia"/>
              </w:rPr>
              <w:t>6)建立良好的沟通机制，杜绝因沟通影响管理体系运行有效性；</w:t>
            </w:r>
          </w:p>
          <w:p>
            <w:pPr>
              <w:spacing w:line="300" w:lineRule="exact"/>
              <w:ind w:firstLine="420" w:firstLineChars="200"/>
              <w:jc w:val="left"/>
              <w:rPr>
                <w:rFonts w:hint="eastAsia"/>
              </w:rPr>
            </w:pPr>
            <w:r>
              <w:rPr>
                <w:rFonts w:hint="eastAsia"/>
              </w:rPr>
              <w:t>7）确保管理体系实现其预期的结果。</w:t>
            </w:r>
          </w:p>
          <w:p>
            <w:pPr>
              <w:spacing w:line="300" w:lineRule="exact"/>
              <w:ind w:firstLine="420" w:firstLineChars="200"/>
              <w:jc w:val="left"/>
              <w:rPr>
                <w:rFonts w:hint="eastAsia"/>
              </w:rPr>
            </w:pPr>
            <w:r>
              <w:rPr>
                <w:rFonts w:hint="eastAsia"/>
              </w:rPr>
              <w:t>8)促使员工积极参与，指导和支持他们为公司管理体系的有效性作出贡献。</w:t>
            </w:r>
          </w:p>
          <w:p>
            <w:pPr>
              <w:spacing w:line="300" w:lineRule="exact"/>
              <w:ind w:firstLine="420" w:firstLineChars="200"/>
              <w:jc w:val="left"/>
              <w:rPr>
                <w:rFonts w:hint="eastAsia"/>
              </w:rPr>
            </w:pPr>
            <w:r>
              <w:rPr>
                <w:rFonts w:hint="eastAsia"/>
              </w:rPr>
              <w:t>9）推动公司改进和创新；</w:t>
            </w:r>
          </w:p>
          <w:p>
            <w:pPr>
              <w:spacing w:line="300" w:lineRule="exact"/>
              <w:ind w:firstLine="420" w:firstLineChars="200"/>
              <w:jc w:val="left"/>
              <w:rPr>
                <w:rFonts w:hint="eastAsia"/>
              </w:rPr>
            </w:pPr>
            <w:r>
              <w:rPr>
                <w:rFonts w:hint="eastAsia"/>
              </w:rPr>
              <w:t>10)做好管理岗位的任命，公司内部公开发布任命书，以支持其他管理者在其负责领域证实其领导作用；</w:t>
            </w:r>
          </w:p>
          <w:p>
            <w:pPr>
              <w:spacing w:line="300" w:lineRule="exact"/>
              <w:ind w:firstLine="420" w:firstLineChars="200"/>
              <w:jc w:val="left"/>
              <w:rPr>
                <w:rFonts w:hint="eastAsia"/>
              </w:rPr>
            </w:pPr>
            <w:r>
              <w:rPr>
                <w:rFonts w:hint="eastAsia"/>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00" w:lineRule="exact"/>
              <w:ind w:firstLine="420" w:firstLineChars="200"/>
              <w:jc w:val="left"/>
            </w:pPr>
            <w:r>
              <w:rPr>
                <w:rFonts w:hint="eastAsia"/>
              </w:rPr>
              <w:t>承诺基本实现，没有违反的情况发生。</w:t>
            </w:r>
          </w:p>
        </w:tc>
        <w:tc>
          <w:tcPr>
            <w:tcW w:w="15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24" w:type="dxa"/>
            <w:vAlign w:val="top"/>
          </w:tcPr>
          <w:p>
            <w:pPr>
              <w:spacing w:line="300" w:lineRule="exact"/>
              <w:jc w:val="left"/>
              <w:rPr>
                <w:rFonts w:hint="eastAsia" w:ascii="Times New Roman" w:hAnsi="Times New Roman" w:eastAsia="宋体" w:cs="Times New Roman"/>
              </w:rPr>
            </w:pPr>
            <w:r>
              <w:rPr>
                <w:rFonts w:hint="eastAsia" w:ascii="Times New Roman" w:hAnsi="Times New Roman" w:eastAsia="宋体" w:cs="Times New Roman"/>
              </w:rPr>
              <w:t>以顾客为关注焦点</w:t>
            </w:r>
          </w:p>
          <w:p>
            <w:pPr>
              <w:spacing w:line="300" w:lineRule="exact"/>
              <w:ind w:firstLine="420" w:firstLineChars="200"/>
              <w:jc w:val="left"/>
              <w:rPr>
                <w:rFonts w:hint="eastAsia" w:ascii="Times New Roman" w:hAnsi="Times New Roman" w:eastAsia="宋体" w:cs="Times New Roman"/>
              </w:rPr>
            </w:pPr>
          </w:p>
        </w:tc>
        <w:tc>
          <w:tcPr>
            <w:tcW w:w="1179" w:type="dxa"/>
            <w:vAlign w:val="top"/>
          </w:tcPr>
          <w:p>
            <w:pPr>
              <w:spacing w:line="300" w:lineRule="exact"/>
              <w:jc w:val="left"/>
              <w:rPr>
                <w:rFonts w:hint="eastAsia" w:ascii="Times New Roman" w:hAnsi="Times New Roman" w:eastAsia="宋体" w:cs="Times New Roman"/>
              </w:rPr>
            </w:pPr>
            <w:r>
              <w:rPr>
                <w:rFonts w:hint="eastAsia" w:ascii="Times New Roman" w:hAnsi="Times New Roman" w:eastAsia="宋体" w:cs="Times New Roman"/>
              </w:rPr>
              <w:t>Q5.1.2</w:t>
            </w:r>
          </w:p>
          <w:p>
            <w:pPr>
              <w:spacing w:line="300" w:lineRule="exact"/>
              <w:ind w:firstLine="420" w:firstLineChars="200"/>
              <w:jc w:val="left"/>
              <w:rPr>
                <w:rFonts w:hint="eastAsia" w:ascii="Times New Roman" w:hAnsi="Times New Roman" w:eastAsia="宋体" w:cs="Times New Roman"/>
              </w:rPr>
            </w:pPr>
          </w:p>
        </w:tc>
        <w:tc>
          <w:tcPr>
            <w:tcW w:w="9848" w:type="dxa"/>
            <w:vAlign w:val="center"/>
          </w:tcPr>
          <w:p>
            <w:pPr>
              <w:spacing w:line="3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总经理证实其以顾客为关注焦点的领导作用和承诺，通过以下方面实现：</w:t>
            </w:r>
          </w:p>
          <w:p>
            <w:pPr>
              <w:spacing w:line="3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a) 确定、理解并持续满足顾客要求以及适用的法律法规要求；</w:t>
            </w:r>
          </w:p>
          <w:p>
            <w:pPr>
              <w:spacing w:line="3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b) 确定和应对能够影响产品、产品符合性以及增强顾客满意能力的风险和机遇；</w:t>
            </w:r>
          </w:p>
          <w:p>
            <w:pPr>
              <w:spacing w:line="3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c) 始终致力于增强顾客满意。</w:t>
            </w:r>
          </w:p>
          <w:p>
            <w:pPr>
              <w:spacing w:line="3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详见审核Q9.1.2条款记录。</w:t>
            </w:r>
          </w:p>
        </w:tc>
        <w:tc>
          <w:tcPr>
            <w:tcW w:w="15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24" w:type="dxa"/>
          </w:tcPr>
          <w:p>
            <w:r>
              <w:rPr>
                <w:rFonts w:hint="eastAsia"/>
              </w:rPr>
              <w:t>方针</w:t>
            </w:r>
          </w:p>
          <w:p>
            <w:r>
              <w:rPr>
                <w:rFonts w:hint="eastAsia"/>
              </w:rPr>
              <w:t>制定方针</w:t>
            </w:r>
          </w:p>
          <w:p>
            <w:r>
              <w:rPr>
                <w:rFonts w:hint="eastAsia"/>
              </w:rPr>
              <w:t>沟通方针</w:t>
            </w:r>
          </w:p>
        </w:tc>
        <w:tc>
          <w:tcPr>
            <w:tcW w:w="1179" w:type="dxa"/>
          </w:tcPr>
          <w:p>
            <w:r>
              <w:rPr>
                <w:rFonts w:hint="eastAsia"/>
              </w:rPr>
              <w:t>QE</w:t>
            </w:r>
            <w:r>
              <w:t>O</w:t>
            </w:r>
            <w:r>
              <w:rPr>
                <w:rFonts w:hint="eastAsia"/>
              </w:rPr>
              <w:t>5.2</w:t>
            </w:r>
          </w:p>
        </w:tc>
        <w:tc>
          <w:tcPr>
            <w:tcW w:w="9848" w:type="dxa"/>
            <w:vAlign w:val="center"/>
          </w:tcPr>
          <w:p>
            <w:pPr>
              <w:ind w:firstLine="420" w:firstLineChars="200"/>
              <w:rPr>
                <w:rFonts w:hint="eastAsia" w:ascii="宋体" w:hAnsi="宋体" w:cs="宋体"/>
                <w:szCs w:val="21"/>
              </w:rPr>
            </w:pPr>
            <w:r>
              <w:rPr>
                <w:rFonts w:hint="eastAsia" w:ascii="宋体" w:hAnsi="宋体" w:cs="宋体"/>
                <w:szCs w:val="21"/>
              </w:rPr>
              <w:t>总经理能确保制订公司的质量环境职业健康安全方针，并向员工和相关方进行宣传。</w:t>
            </w:r>
          </w:p>
          <w:p>
            <w:pPr>
              <w:ind w:firstLine="420" w:firstLineChars="200"/>
              <w:rPr>
                <w:rFonts w:hint="eastAsia" w:ascii="宋体" w:hAnsi="宋体" w:cs="宋体"/>
                <w:szCs w:val="21"/>
              </w:rPr>
            </w:pPr>
            <w:r>
              <w:rPr>
                <w:rFonts w:hint="eastAsia" w:ascii="宋体" w:hAnsi="宋体" w:cs="宋体"/>
                <w:szCs w:val="21"/>
              </w:rPr>
              <w:t>质量、环境、职业健康安全方针：</w:t>
            </w:r>
          </w:p>
          <w:p>
            <w:pPr>
              <w:ind w:firstLine="420" w:firstLineChars="200"/>
              <w:rPr>
                <w:rFonts w:hint="eastAsia" w:ascii="宋体" w:hAnsi="宋体" w:cs="宋体"/>
                <w:szCs w:val="21"/>
              </w:rPr>
            </w:pPr>
            <w:r>
              <w:rPr>
                <w:rFonts w:hint="eastAsia" w:ascii="宋体" w:hAnsi="宋体" w:cs="宋体"/>
                <w:szCs w:val="21"/>
              </w:rPr>
              <w:t>服务至上，诚信第一；</w:t>
            </w:r>
          </w:p>
          <w:p>
            <w:pPr>
              <w:ind w:firstLine="420" w:firstLineChars="200"/>
              <w:rPr>
                <w:rFonts w:hint="eastAsia" w:ascii="宋体" w:hAnsi="宋体" w:cs="宋体"/>
                <w:szCs w:val="21"/>
              </w:rPr>
            </w:pPr>
            <w:r>
              <w:rPr>
                <w:rFonts w:hint="eastAsia" w:ascii="宋体" w:hAnsi="宋体" w:cs="宋体"/>
                <w:szCs w:val="21"/>
              </w:rPr>
              <w:t>规范管理，遵纪守法；</w:t>
            </w:r>
          </w:p>
          <w:p>
            <w:pPr>
              <w:ind w:firstLine="420" w:firstLineChars="200"/>
              <w:rPr>
                <w:rFonts w:hint="eastAsia" w:ascii="宋体" w:hAnsi="宋体" w:cs="宋体"/>
                <w:szCs w:val="21"/>
              </w:rPr>
            </w:pPr>
            <w:r>
              <w:rPr>
                <w:rFonts w:hint="eastAsia" w:ascii="宋体" w:hAnsi="宋体" w:cs="宋体"/>
                <w:szCs w:val="21"/>
              </w:rPr>
              <w:t>预防污染，保护环境；</w:t>
            </w:r>
          </w:p>
          <w:p>
            <w:pPr>
              <w:ind w:firstLine="420" w:firstLineChars="200"/>
              <w:rPr>
                <w:rFonts w:hint="eastAsia" w:ascii="宋体" w:hAnsi="宋体" w:cs="宋体"/>
                <w:szCs w:val="21"/>
              </w:rPr>
            </w:pPr>
            <w:r>
              <w:rPr>
                <w:rFonts w:hint="eastAsia" w:ascii="宋体" w:hAnsi="宋体" w:cs="宋体"/>
                <w:szCs w:val="21"/>
              </w:rPr>
              <w:t>保障安全，持续改进。</w:t>
            </w:r>
          </w:p>
          <w:p>
            <w:pPr>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eastAsia="zh-CN"/>
              </w:rPr>
              <w:t>吴海舰</w:t>
            </w:r>
            <w:r>
              <w:rPr>
                <w:rFonts w:hint="eastAsia" w:ascii="宋体" w:hAnsi="宋体" w:cs="宋体"/>
                <w:szCs w:val="21"/>
              </w:rPr>
              <w:t xml:space="preserve"> 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综合部</w:t>
            </w:r>
            <w:r>
              <w:rPr>
                <w:rFonts w:hint="eastAsia" w:ascii="宋体" w:hAnsi="宋体" w:cs="宋体"/>
                <w:szCs w:val="21"/>
              </w:rPr>
              <w:t>获取公司管理方针。</w:t>
            </w:r>
          </w:p>
        </w:tc>
        <w:tc>
          <w:tcPr>
            <w:tcW w:w="15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24" w:type="dxa"/>
          </w:tcPr>
          <w:p>
            <w:r>
              <w:rPr>
                <w:rFonts w:hint="eastAsia"/>
              </w:rPr>
              <w:t>组织的岗位、职责和权限</w:t>
            </w:r>
          </w:p>
          <w:p/>
        </w:tc>
        <w:tc>
          <w:tcPr>
            <w:tcW w:w="1179" w:type="dxa"/>
          </w:tcPr>
          <w:p>
            <w:r>
              <w:t>QEO5.3</w:t>
            </w:r>
          </w:p>
        </w:tc>
        <w:tc>
          <w:tcPr>
            <w:tcW w:w="9848" w:type="dxa"/>
            <w:vAlign w:val="center"/>
          </w:tcPr>
          <w:p>
            <w:pPr>
              <w:ind w:firstLine="420" w:firstLineChars="200"/>
              <w:rPr>
                <w:rFonts w:hint="eastAsia"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在提供的管理手册附件中规定了各个部门的职责和权限。</w:t>
            </w:r>
          </w:p>
          <w:p>
            <w:pPr>
              <w:ind w:firstLine="420" w:firstLineChars="200"/>
              <w:rPr>
                <w:rFonts w:ascii="宋体" w:hAnsi="宋体" w:cs="宋体"/>
                <w:szCs w:val="21"/>
              </w:rPr>
            </w:pPr>
            <w:r>
              <w:rPr>
                <w:rFonts w:hint="eastAsia" w:ascii="宋体" w:hAnsi="宋体" w:cs="宋体"/>
                <w:szCs w:val="21"/>
              </w:rPr>
              <w:t>各程序文件中也对相关职责进行了规定。各个部门的职责和权限在公司内部得到了沟通。</w:t>
            </w:r>
          </w:p>
          <w:p>
            <w:pPr>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田泽良</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王益枫</w:t>
            </w:r>
            <w:r>
              <w:rPr>
                <w:rFonts w:hint="eastAsia" w:ascii="宋体" w:hAnsi="宋体" w:cs="宋体"/>
                <w:szCs w:val="21"/>
              </w:rPr>
              <w:t>为管理体系的管理者代表。对其职责和权限规定如下：</w:t>
            </w:r>
          </w:p>
          <w:p>
            <w:pPr>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ind w:firstLine="420" w:firstLineChars="200"/>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田泽良</w:t>
            </w:r>
            <w:r>
              <w:rPr>
                <w:rFonts w:hint="eastAsia" w:ascii="宋体" w:hAnsi="宋体" w:cs="宋体"/>
                <w:szCs w:val="21"/>
              </w:rPr>
              <w:t>职责回答正确。</w:t>
            </w:r>
          </w:p>
        </w:tc>
        <w:tc>
          <w:tcPr>
            <w:tcW w:w="15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4" w:type="dxa"/>
          </w:tcPr>
          <w:p>
            <w:r>
              <w:rPr>
                <w:rFonts w:hint="eastAsia"/>
              </w:rPr>
              <w:t>应对风险和机遇的措施</w:t>
            </w:r>
          </w:p>
          <w:p/>
        </w:tc>
        <w:tc>
          <w:tcPr>
            <w:tcW w:w="1179" w:type="dxa"/>
          </w:tcPr>
          <w:p>
            <w:r>
              <w:rPr>
                <w:rFonts w:hint="eastAsia"/>
              </w:rPr>
              <w:t>Q6.1</w:t>
            </w:r>
          </w:p>
          <w:p>
            <w:r>
              <w:t>E6.1.1</w:t>
            </w:r>
          </w:p>
          <w:p>
            <w:r>
              <w:t>O6.1.1</w:t>
            </w:r>
          </w:p>
          <w:p/>
        </w:tc>
        <w:tc>
          <w:tcPr>
            <w:tcW w:w="9848"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1、查到：《风险和机遇的应对措施控制程序》</w:t>
            </w:r>
            <w:r>
              <w:rPr>
                <w:rFonts w:hint="eastAsia" w:ascii="宋体" w:hAnsi="宋体" w:cs="宋体"/>
                <w:szCs w:val="21"/>
                <w:lang w:eastAsia="zh-CN"/>
              </w:rPr>
              <w:t>QD</w:t>
            </w:r>
            <w:r>
              <w:rPr>
                <w:rFonts w:hint="eastAsia" w:ascii="宋体" w:hAnsi="宋体" w:cs="宋体"/>
                <w:szCs w:val="21"/>
              </w:rPr>
              <w:t>/CX25-01。规定了对风险识别的方法和职责及部门责任等。</w:t>
            </w:r>
          </w:p>
          <w:p>
            <w:pPr>
              <w:spacing w:line="280" w:lineRule="exact"/>
              <w:ind w:firstLine="420" w:firstLineChars="200"/>
              <w:rPr>
                <w:rFonts w:hint="eastAsia" w:ascii="宋体" w:hAnsi="宋体" w:cs="宋体"/>
                <w:szCs w:val="21"/>
              </w:rPr>
            </w:pPr>
            <w:r>
              <w:rPr>
                <w:rFonts w:hint="eastAsia" w:ascii="宋体" w:hAnsi="宋体" w:cs="宋体"/>
                <w:szCs w:val="21"/>
              </w:rPr>
              <w:t>2、查到：《风险和机遇评价与应对策划表》包括了对内部和外部因素造成的风险进行了分析和评价。</w:t>
            </w:r>
          </w:p>
          <w:p>
            <w:pPr>
              <w:ind w:firstLine="420" w:firstLineChars="200"/>
              <w:rPr>
                <w:rFonts w:hint="eastAsia" w:ascii="宋体" w:hAnsi="宋体" w:cs="宋体"/>
                <w:szCs w:val="21"/>
                <w:lang w:val="en-US" w:eastAsia="zh-CN"/>
              </w:rPr>
            </w:pPr>
            <w:r>
              <w:rPr>
                <w:rFonts w:hint="eastAsia" w:ascii="宋体" w:hAnsi="宋体" w:cs="宋体"/>
                <w:szCs w:val="21"/>
              </w:rPr>
              <w:t>3、组织识别的风险</w:t>
            </w:r>
            <w:r>
              <w:rPr>
                <w:rFonts w:hint="eastAsia" w:ascii="宋体" w:hAnsi="宋体" w:cs="宋体"/>
                <w:szCs w:val="21"/>
                <w:lang w:val="en-US" w:eastAsia="zh-CN"/>
              </w:rPr>
              <w:t>和机遇包括：组织环境识别不齐全、相关方要求识别不完整；领导对管理体系不重视，没有履行足够的承诺、未能配置足够的资源；客户要求识别不完整、未能确保能够满足客户要求就签署合同等等面临的风险等。</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企业策划的应对其中高风险客户的需求的风险和机遇的措施主要 1.对市场需求服务的发展趋势分析应该经过反复论证。2.对客户的要求实施监视和测量。 3.在确定与客户签署合同前落实合同评审事宜。</w:t>
            </w:r>
          </w:p>
          <w:p>
            <w:pPr>
              <w:pStyle w:val="18"/>
              <w:rPr>
                <w:rFonts w:hint="eastAsia"/>
                <w:lang w:val="en-US" w:eastAsia="zh-CN"/>
              </w:rPr>
            </w:pPr>
            <w:r>
              <w:rPr>
                <w:rFonts w:hint="eastAsia"/>
                <w:lang w:val="en-US" w:eastAsia="zh-CN"/>
              </w:rPr>
              <w:t>在策划管理体系时考虑了风险和机遇以及相应的应对措施，制定了《</w:t>
            </w:r>
            <w:r>
              <w:rPr>
                <w:rFonts w:hint="eastAsia" w:ascii="宋体" w:hAnsi="宋体" w:cs="宋体"/>
                <w:szCs w:val="21"/>
              </w:rPr>
              <w:t>风险和机遇的应对措施控制程序</w:t>
            </w:r>
            <w:r>
              <w:rPr>
                <w:rFonts w:hint="eastAsia"/>
                <w:lang w:val="en-US" w:eastAsia="zh-CN"/>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合同评审过程等）中，整合制定针对性管理措施（如程序控制等）。</w:t>
            </w:r>
          </w:p>
          <w:p>
            <w:pPr>
              <w:pStyle w:val="18"/>
              <w:rPr>
                <w:rFonts w:hint="eastAsia"/>
                <w:lang w:val="en-US" w:eastAsia="zh-CN"/>
              </w:rPr>
            </w:pPr>
          </w:p>
          <w:p>
            <w:pPr>
              <w:rPr>
                <w:rFonts w:hint="default" w:ascii="宋体" w:hAnsi="宋体" w:eastAsia="宋体" w:cs="宋体"/>
                <w:szCs w:val="21"/>
                <w:lang w:val="en-US" w:eastAsia="zh-CN"/>
              </w:rPr>
            </w:pPr>
            <w:r>
              <w:rPr>
                <w:rFonts w:hint="eastAsia"/>
                <w:szCs w:val="21"/>
                <w:lang w:val="en-US" w:eastAsia="zh-CN"/>
              </w:rPr>
              <w:t>机遇：再生资源回收、垃圾分类</w:t>
            </w:r>
            <w:r>
              <w:rPr>
                <w:rFonts w:hint="eastAsia"/>
                <w:szCs w:val="21"/>
              </w:rPr>
              <w:t>市场前景看好</w:t>
            </w:r>
            <w:r>
              <w:rPr>
                <w:rFonts w:hint="eastAsia"/>
                <w:szCs w:val="21"/>
                <w:lang w:eastAsia="zh-CN"/>
              </w:rPr>
              <w:t>、</w:t>
            </w:r>
            <w:r>
              <w:rPr>
                <w:rFonts w:hint="eastAsia"/>
                <w:szCs w:val="21"/>
                <w:lang w:val="en-US" w:eastAsia="zh-CN"/>
              </w:rPr>
              <w:t>政策的支持。</w:t>
            </w:r>
          </w:p>
        </w:tc>
        <w:tc>
          <w:tcPr>
            <w:tcW w:w="1558" w:type="dxa"/>
          </w:tcPr>
          <w:p>
            <w:pPr>
              <w:rPr>
                <w:rFonts w:hint="eastAsia" w:ascii="宋体" w:hAnsi="宋体" w:eastAsia="宋体" w:cs="宋体"/>
                <w:color w:val="FF0000"/>
                <w:szCs w:val="21"/>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24" w:type="dxa"/>
          </w:tcPr>
          <w:p>
            <w:r>
              <w:rPr>
                <w:rFonts w:hint="eastAsia"/>
              </w:rPr>
              <w:t>管理目标及其实现的策划</w:t>
            </w:r>
          </w:p>
          <w:p/>
        </w:tc>
        <w:tc>
          <w:tcPr>
            <w:tcW w:w="1179" w:type="dxa"/>
          </w:tcPr>
          <w:p>
            <w:r>
              <w:rPr>
                <w:rFonts w:hint="eastAsia"/>
              </w:rPr>
              <w:t>QE</w:t>
            </w:r>
            <w:r>
              <w:t>O</w:t>
            </w:r>
            <w:r>
              <w:rPr>
                <w:rFonts w:hint="eastAsia"/>
              </w:rPr>
              <w:t>6.2</w:t>
            </w:r>
          </w:p>
        </w:tc>
        <w:tc>
          <w:tcPr>
            <w:tcW w:w="9848" w:type="dxa"/>
            <w:vAlign w:val="center"/>
          </w:tcPr>
          <w:p>
            <w:pPr>
              <w:snapToGrid w:val="0"/>
              <w:rPr>
                <w:rFonts w:hint="eastAsia" w:ascii="宋体" w:hAnsi="宋体" w:eastAsia="宋体" w:cs="宋体"/>
                <w:szCs w:val="21"/>
                <w:highlight w:val="none"/>
                <w:lang w:eastAsia="zh-CN"/>
              </w:rPr>
            </w:pPr>
          </w:p>
          <w:p>
            <w:pPr>
              <w:snapToGrid w:val="0"/>
              <w:ind w:firstLine="420" w:firstLineChars="200"/>
              <w:rPr>
                <w:rFonts w:hint="eastAsia" w:ascii="宋体" w:hAnsi="宋体" w:cs="宋体"/>
                <w:szCs w:val="21"/>
                <w:highlight w:val="none"/>
              </w:rPr>
            </w:pPr>
            <w:r>
              <w:rPr>
                <w:rFonts w:hint="eastAsia" w:ascii="宋体" w:hAnsi="宋体" w:cs="宋体"/>
                <w:szCs w:val="21"/>
                <w:highlight w:val="none"/>
              </w:rPr>
              <w:t>公司编制了《目标、指标及环境管理方案控制程序》</w:t>
            </w:r>
            <w:r>
              <w:rPr>
                <w:rFonts w:hint="eastAsia" w:ascii="宋体" w:hAnsi="宋体" w:cs="宋体"/>
                <w:szCs w:val="21"/>
                <w:highlight w:val="none"/>
                <w:lang w:eastAsia="zh-CN"/>
              </w:rPr>
              <w:t>QD</w:t>
            </w:r>
            <w:r>
              <w:rPr>
                <w:rFonts w:hint="eastAsia" w:ascii="宋体" w:hAnsi="宋体" w:cs="宋体"/>
                <w:szCs w:val="21"/>
                <w:highlight w:val="none"/>
              </w:rPr>
              <w:t>/CX16-01 ,规定了质量环境安全目标管理的方法和职责等。</w:t>
            </w:r>
          </w:p>
          <w:p>
            <w:pPr>
              <w:snapToGrid w:val="0"/>
              <w:rPr>
                <w:rFonts w:hint="eastAsia" w:ascii="宋体" w:hAnsi="宋体" w:cs="宋体"/>
                <w:szCs w:val="21"/>
                <w:highlight w:val="none"/>
              </w:rPr>
            </w:pPr>
            <w:r>
              <w:rPr>
                <w:rFonts w:hint="eastAsia" w:ascii="宋体" w:hAnsi="宋体" w:cs="宋体"/>
                <w:szCs w:val="21"/>
                <w:highlight w:val="none"/>
              </w:rPr>
              <w:t>1、公司制定了《质量环境安全目标指标及考核办法》，对质量环境安全目标进行了明确。</w:t>
            </w:r>
          </w:p>
          <w:p>
            <w:pPr>
              <w:snapToGrid w:val="0"/>
              <w:rPr>
                <w:rFonts w:hint="eastAsia" w:ascii="宋体" w:hAnsi="宋体" w:cs="宋体"/>
                <w:szCs w:val="21"/>
                <w:highlight w:val="none"/>
              </w:rPr>
            </w:pPr>
            <w:r>
              <w:rPr>
                <w:rFonts w:hint="eastAsia" w:ascii="宋体" w:hAnsi="宋体" w:cs="宋体"/>
                <w:szCs w:val="21"/>
                <w:highlight w:val="none"/>
              </w:rPr>
              <w:t>2、提供《20</w:t>
            </w:r>
            <w:r>
              <w:rPr>
                <w:rFonts w:hint="eastAsia" w:ascii="宋体" w:hAnsi="宋体" w:cs="宋体"/>
                <w:szCs w:val="21"/>
                <w:highlight w:val="none"/>
                <w:lang w:val="en-US" w:eastAsia="zh-CN"/>
              </w:rPr>
              <w:t>21</w:t>
            </w:r>
            <w:r>
              <w:rPr>
                <w:rFonts w:hint="eastAsia" w:ascii="宋体" w:hAnsi="宋体" w:cs="宋体"/>
                <w:szCs w:val="21"/>
                <w:highlight w:val="none"/>
              </w:rPr>
              <w:t xml:space="preserve"> 年目标任务考评表》，统计了公司 20</w:t>
            </w:r>
            <w:r>
              <w:rPr>
                <w:rFonts w:hint="eastAsia" w:ascii="宋体" w:hAnsi="宋体" w:cs="宋体"/>
                <w:szCs w:val="21"/>
                <w:highlight w:val="none"/>
                <w:lang w:val="en-US" w:eastAsia="zh-CN"/>
              </w:rPr>
              <w:t>21</w:t>
            </w:r>
            <w:r>
              <w:rPr>
                <w:rFonts w:hint="eastAsia" w:ascii="宋体" w:hAnsi="宋体" w:cs="宋体"/>
                <w:szCs w:val="21"/>
                <w:highlight w:val="none"/>
              </w:rPr>
              <w:t xml:space="preserve"> 年 1 月-</w:t>
            </w:r>
            <w:r>
              <w:rPr>
                <w:rFonts w:hint="eastAsia" w:ascii="宋体" w:hAnsi="宋体" w:cs="宋体"/>
                <w:szCs w:val="21"/>
                <w:highlight w:val="none"/>
                <w:lang w:val="en-US" w:eastAsia="zh-CN"/>
              </w:rPr>
              <w:t>8</w:t>
            </w:r>
            <w:r>
              <w:rPr>
                <w:rFonts w:hint="eastAsia" w:ascii="宋体" w:hAnsi="宋体" w:cs="宋体"/>
                <w:szCs w:val="21"/>
                <w:highlight w:val="none"/>
              </w:rPr>
              <w:t xml:space="preserve"> 月质量目标及完成情况。</w:t>
            </w:r>
          </w:p>
          <w:p>
            <w:pPr>
              <w:snapToGrid w:val="0"/>
              <w:ind w:firstLine="420" w:firstLineChars="200"/>
              <w:rPr>
                <w:rFonts w:hint="eastAsia" w:ascii="宋体" w:hAnsi="宋体" w:cs="宋体"/>
                <w:szCs w:val="21"/>
                <w:highlight w:val="none"/>
              </w:rPr>
            </w:pPr>
            <w:r>
              <w:rPr>
                <w:rFonts w:hint="eastAsia" w:ascii="宋体" w:hAnsi="宋体" w:cs="宋体"/>
                <w:szCs w:val="21"/>
                <w:highlight w:val="none"/>
              </w:rPr>
              <w:t>公司目标完成情况：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3600"/>
              <w:gridCol w:w="94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分解目标</w:t>
                  </w:r>
                </w:p>
              </w:tc>
              <w:tc>
                <w:tcPr>
                  <w:tcW w:w="3600"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945"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21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目标实际完成（2021.01-2021.08）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顾客满意率≥90%</w:t>
                  </w:r>
                </w:p>
              </w:tc>
              <w:tc>
                <w:tcPr>
                  <w:tcW w:w="3600" w:type="dxa"/>
                  <w:shd w:val="clear" w:color="auto" w:fill="auto"/>
                  <w:vAlign w:val="center"/>
                </w:tcPr>
                <w:p>
                  <w:pPr>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顾客满意度=∑n1+n2+n3+……+ni/n</w:t>
                  </w:r>
                </w:p>
              </w:tc>
              <w:tc>
                <w:tcPr>
                  <w:tcW w:w="945"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1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固废分类处置率100%</w:t>
                  </w:r>
                </w:p>
              </w:tc>
              <w:tc>
                <w:tcPr>
                  <w:tcW w:w="3600"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处理数/总数×100%</w:t>
                  </w:r>
                </w:p>
              </w:tc>
              <w:tc>
                <w:tcPr>
                  <w:tcW w:w="94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150"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rPr>
                    <w:t>重大人身伤亡事故为零</w:t>
                  </w:r>
                </w:p>
              </w:tc>
              <w:tc>
                <w:tcPr>
                  <w:tcW w:w="360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实际发生数</w:t>
                  </w:r>
                </w:p>
              </w:tc>
              <w:tc>
                <w:tcPr>
                  <w:tcW w:w="94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150"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rPr>
                    <w:t>无职业病发生，无工伤事故发生</w:t>
                  </w:r>
                </w:p>
              </w:tc>
              <w:tc>
                <w:tcPr>
                  <w:tcW w:w="360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实际发生数</w:t>
                  </w:r>
                </w:p>
              </w:tc>
              <w:tc>
                <w:tcPr>
                  <w:tcW w:w="94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150"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bl>
          <w:p>
            <w:pPr>
              <w:snapToGrid w:val="0"/>
              <w:ind w:firstLine="420" w:firstLineChars="200"/>
              <w:rPr>
                <w:rFonts w:hint="eastAsia" w:ascii="宋体" w:hAnsi="宋体" w:cs="宋体"/>
                <w:szCs w:val="21"/>
              </w:rPr>
            </w:pPr>
          </w:p>
          <w:p>
            <w:pPr>
              <w:snapToGrid w:val="0"/>
              <w:ind w:firstLine="420" w:firstLineChars="200"/>
              <w:rPr>
                <w:rFonts w:ascii="宋体" w:hAnsi="宋体" w:cs="宋体"/>
                <w:szCs w:val="21"/>
              </w:rPr>
            </w:pPr>
            <w:r>
              <w:rPr>
                <w:rFonts w:hint="eastAsia" w:ascii="宋体" w:hAnsi="宋体" w:cs="宋体"/>
                <w:szCs w:val="21"/>
              </w:rPr>
              <w:t>目标可测量，与公司管理方针一致。</w:t>
            </w:r>
          </w:p>
          <w:p>
            <w:pPr>
              <w:snapToGrid w:val="0"/>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综合部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年公司管理目标完成情况，各项目标均已完成。</w:t>
            </w:r>
          </w:p>
          <w:p>
            <w:pPr>
              <w:jc w:val="left"/>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ascii="宋体" w:hAnsi="宋体" w:cs="宋体"/>
                <w:szCs w:val="21"/>
                <w:lang w:eastAsia="zh-CN"/>
              </w:rPr>
              <w:t>综合部</w:t>
            </w:r>
            <w:r>
              <w:rPr>
                <w:rFonts w:hint="eastAsia" w:ascii="宋体" w:hAnsi="宋体" w:cs="宋体"/>
                <w:szCs w:val="21"/>
              </w:rPr>
              <w:t>该条款记录。</w:t>
            </w:r>
          </w:p>
        </w:tc>
        <w:tc>
          <w:tcPr>
            <w:tcW w:w="155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24" w:type="dxa"/>
          </w:tcPr>
          <w:p>
            <w:r>
              <w:rPr>
                <w:rFonts w:hint="eastAsia"/>
              </w:rPr>
              <w:t>变更的策划</w:t>
            </w:r>
          </w:p>
        </w:tc>
        <w:tc>
          <w:tcPr>
            <w:tcW w:w="1179" w:type="dxa"/>
          </w:tcPr>
          <w:p>
            <w:r>
              <w:rPr>
                <w:rFonts w:hint="eastAsia"/>
              </w:rPr>
              <w:t>Q6.3</w:t>
            </w:r>
          </w:p>
        </w:tc>
        <w:tc>
          <w:tcPr>
            <w:tcW w:w="9848" w:type="dxa"/>
            <w:vAlign w:val="center"/>
          </w:tcPr>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numPr>
                <w:ilvl w:val="0"/>
                <w:numId w:val="8"/>
              </w:numPr>
              <w:ind w:left="420" w:leftChars="200"/>
              <w:rPr>
                <w:rFonts w:ascii="宋体" w:hAnsi="宋体" w:cs="宋体"/>
                <w:szCs w:val="21"/>
              </w:rPr>
            </w:pPr>
            <w:r>
              <w:rPr>
                <w:rFonts w:hint="eastAsia" w:ascii="宋体" w:hAnsi="宋体" w:cs="宋体"/>
                <w:szCs w:val="21"/>
              </w:rPr>
              <w:t>变更目的及其潜在后果；</w:t>
            </w:r>
          </w:p>
          <w:p>
            <w:pPr>
              <w:numPr>
                <w:ilvl w:val="0"/>
                <w:numId w:val="8"/>
              </w:numPr>
              <w:ind w:left="420" w:leftChars="200"/>
              <w:rPr>
                <w:rFonts w:ascii="宋体" w:hAnsi="宋体" w:cs="宋体"/>
                <w:szCs w:val="21"/>
              </w:rPr>
            </w:pPr>
            <w:r>
              <w:rPr>
                <w:rFonts w:hint="eastAsia" w:ascii="宋体" w:hAnsi="宋体" w:cs="宋体"/>
                <w:szCs w:val="21"/>
              </w:rPr>
              <w:t>质量环境职业健康安全管理体系的完整性；</w:t>
            </w:r>
          </w:p>
          <w:p>
            <w:pPr>
              <w:numPr>
                <w:ilvl w:val="0"/>
                <w:numId w:val="8"/>
              </w:numPr>
              <w:ind w:left="420" w:leftChars="200"/>
              <w:rPr>
                <w:rFonts w:ascii="宋体" w:hAnsi="宋体" w:cs="宋体"/>
                <w:szCs w:val="21"/>
              </w:rPr>
            </w:pPr>
            <w:r>
              <w:rPr>
                <w:rFonts w:hint="eastAsia" w:ascii="宋体" w:hAnsi="宋体" w:cs="宋体"/>
                <w:szCs w:val="21"/>
              </w:rPr>
              <w:t>资源的可获得性；</w:t>
            </w:r>
          </w:p>
          <w:p>
            <w:pPr>
              <w:numPr>
                <w:ilvl w:val="0"/>
                <w:numId w:val="8"/>
              </w:numPr>
              <w:ind w:left="420" w:leftChars="200"/>
              <w:rPr>
                <w:rFonts w:ascii="宋体" w:hAnsi="宋体" w:cs="宋体"/>
                <w:szCs w:val="21"/>
              </w:rPr>
            </w:pPr>
            <w:r>
              <w:rPr>
                <w:rFonts w:hint="eastAsia" w:ascii="宋体" w:hAnsi="宋体" w:cs="宋体"/>
                <w:szCs w:val="21"/>
              </w:rPr>
              <w:t>责任和权限的分配或再分配。。</w:t>
            </w:r>
          </w:p>
          <w:p>
            <w:pPr>
              <w:ind w:firstLine="420" w:firstLineChars="200"/>
              <w:rPr>
                <w:rFonts w:ascii="宋体" w:hAnsi="宋体" w:cs="宋体"/>
                <w:szCs w:val="21"/>
              </w:rPr>
            </w:pPr>
            <w:r>
              <w:rPr>
                <w:rFonts w:hint="eastAsia" w:ascii="宋体" w:hAnsi="宋体" w:cs="宋体"/>
                <w:szCs w:val="21"/>
              </w:rPr>
              <w:t>管理体系从20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年实施以来无涉及变更。</w:t>
            </w:r>
          </w:p>
        </w:tc>
        <w:tc>
          <w:tcPr>
            <w:tcW w:w="155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24" w:type="dxa"/>
          </w:tcPr>
          <w:p>
            <w:r>
              <w:rPr>
                <w:rFonts w:hint="eastAsia"/>
              </w:rPr>
              <w:t>资源、总则</w:t>
            </w:r>
          </w:p>
        </w:tc>
        <w:tc>
          <w:tcPr>
            <w:tcW w:w="1179" w:type="dxa"/>
          </w:tcPr>
          <w:p>
            <w:r>
              <w:rPr>
                <w:rFonts w:hint="eastAsia"/>
              </w:rPr>
              <w:t>Q7.1.1</w:t>
            </w:r>
          </w:p>
          <w:p>
            <w:r>
              <w:rPr>
                <w:rFonts w:hint="eastAsia"/>
              </w:rPr>
              <w:t>E</w:t>
            </w:r>
            <w:r>
              <w:t>O</w:t>
            </w:r>
            <w:r>
              <w:rPr>
                <w:rFonts w:hint="eastAsia"/>
              </w:rPr>
              <w:t>7.1</w:t>
            </w:r>
          </w:p>
        </w:tc>
        <w:tc>
          <w:tcPr>
            <w:tcW w:w="9848" w:type="dxa"/>
            <w:vAlign w:val="center"/>
          </w:tcPr>
          <w:p>
            <w:pPr>
              <w:spacing w:line="280" w:lineRule="exact"/>
              <w:ind w:firstLine="420" w:firstLineChars="200"/>
              <w:rPr>
                <w:szCs w:val="21"/>
              </w:rPr>
            </w:pPr>
            <w:r>
              <w:rPr>
                <w:rFonts w:hint="eastAsia"/>
                <w:szCs w:val="21"/>
              </w:rPr>
              <w:t>在《管理手册》中明确“资源/总则”的要求。</w:t>
            </w:r>
          </w:p>
          <w:p>
            <w:pPr>
              <w:spacing w:line="280" w:lineRule="exact"/>
              <w:ind w:firstLine="420" w:firstLineChars="200"/>
              <w:rPr>
                <w:szCs w:val="21"/>
              </w:rPr>
            </w:pPr>
            <w:r>
              <w:rPr>
                <w:rFonts w:hint="eastAsia"/>
                <w:szCs w:val="21"/>
              </w:rPr>
              <w:t>总经理/体系负责人介绍及现场观察：</w:t>
            </w:r>
          </w:p>
          <w:p>
            <w:pPr>
              <w:spacing w:line="280" w:lineRule="exact"/>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覆盖产品/服务/活动及体系运行所需的资源，主要有：</w:t>
            </w:r>
          </w:p>
          <w:p>
            <w:pPr>
              <w:spacing w:line="28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1、人员（45人）</w:t>
            </w:r>
          </w:p>
          <w:p>
            <w:pPr>
              <w:spacing w:line="280" w:lineRule="exact"/>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2、办公场地（4200平方米）</w:t>
            </w:r>
          </w:p>
          <w:p>
            <w:pPr>
              <w:spacing w:line="28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3、办公、服务设备（电脑、打印机、投影仪、称重设备等）</w:t>
            </w:r>
          </w:p>
          <w:p>
            <w:pPr>
              <w:spacing w:line="280" w:lineRule="exact"/>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4、办公</w:t>
            </w:r>
            <w:r>
              <w:rPr>
                <w:rFonts w:hint="eastAsia" w:cs="Times New Roman"/>
                <w:szCs w:val="21"/>
                <w:lang w:val="en-US" w:eastAsia="zh-CN"/>
              </w:rPr>
              <w:t>、业务操作</w:t>
            </w:r>
            <w:r>
              <w:rPr>
                <w:rFonts w:hint="eastAsia" w:ascii="Times New Roman" w:hAnsi="Times New Roman" w:cs="Times New Roman"/>
                <w:szCs w:val="21"/>
                <w:lang w:val="en-US" w:eastAsia="zh-CN"/>
              </w:rPr>
              <w:t>软件</w:t>
            </w:r>
            <w:bookmarkStart w:id="1" w:name="_GoBack"/>
            <w:bookmarkEnd w:id="1"/>
          </w:p>
          <w:p>
            <w:pPr>
              <w:spacing w:line="280" w:lineRule="exact"/>
              <w:ind w:firstLine="420" w:firstLineChars="200"/>
              <w:rPr>
                <w:szCs w:val="21"/>
              </w:rPr>
            </w:pPr>
            <w:r>
              <w:rPr>
                <w:rFonts w:hint="eastAsia" w:ascii="Times New Roman" w:hAnsi="Times New Roman" w:cs="Times New Roman"/>
                <w:szCs w:val="21"/>
              </w:rPr>
              <w:t>从现场观察：过程运行环境较好（可详见相关条款审核记录）、据介绍：公司重视组织知识（可详见相关条款审核记录），以上能符合服务的需要，并能支持体系运行和改进的需要。</w:t>
            </w:r>
          </w:p>
        </w:tc>
        <w:tc>
          <w:tcPr>
            <w:tcW w:w="155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4" w:type="dxa"/>
            <w:shd w:val="clear" w:color="auto" w:fill="auto"/>
          </w:tcPr>
          <w:p>
            <w:r>
              <w:rPr>
                <w:rFonts w:hint="eastAsia"/>
              </w:rPr>
              <w:t>监视测量分析和评价总则</w:t>
            </w:r>
          </w:p>
        </w:tc>
        <w:tc>
          <w:tcPr>
            <w:tcW w:w="1179" w:type="dxa"/>
            <w:shd w:val="clear" w:color="auto" w:fill="auto"/>
          </w:tcPr>
          <w:p>
            <w:r>
              <w:t>QEO:</w:t>
            </w:r>
            <w:r>
              <w:rPr>
                <w:rFonts w:hint="eastAsia"/>
              </w:rPr>
              <w:t>9</w:t>
            </w:r>
            <w:r>
              <w:t>.1.1.</w:t>
            </w:r>
          </w:p>
        </w:tc>
        <w:tc>
          <w:tcPr>
            <w:tcW w:w="9848" w:type="dxa"/>
            <w:shd w:val="clear" w:color="auto" w:fill="auto"/>
            <w:vAlign w:val="center"/>
          </w:tcPr>
          <w:p>
            <w:pPr>
              <w:spacing w:line="280" w:lineRule="exact"/>
              <w:ind w:firstLine="420" w:firstLineChars="200"/>
              <w:rPr>
                <w:szCs w:val="21"/>
              </w:rPr>
            </w:pPr>
            <w:r>
              <w:rPr>
                <w:rFonts w:hint="eastAsia"/>
                <w:szCs w:val="21"/>
                <w:lang w:val="en-US" w:eastAsia="zh-CN"/>
              </w:rPr>
              <w:t>对管理体系的过程能力进行监视和测量，主要通过内审对管理体系运行的符合性和有效性进行监测，内审详见综合部审核9.2条款；再通过管理评审对管理体系的充分性、有效性和适宜性作了肯定的评价，详见管理层9.3条款记录；通过目标考评，监测管理体系运行的有效性，详见综合部审核6.2条款。另综合部提供的监视测量记录，抽查内容如</w:t>
            </w:r>
            <w:r>
              <w:rPr>
                <w:rFonts w:hint="eastAsia"/>
                <w:szCs w:val="21"/>
              </w:rPr>
              <w:t>对于过程监视和测量发现的不合格也采取了改进措施。公司的过程监视和测量方法有效。</w:t>
            </w:r>
          </w:p>
          <w:p>
            <w:pPr>
              <w:spacing w:line="280" w:lineRule="exact"/>
              <w:ind w:firstLine="420" w:firstLineChars="200"/>
              <w:rPr>
                <w:szCs w:val="21"/>
              </w:rPr>
            </w:pPr>
            <w:r>
              <w:rPr>
                <w:rFonts w:hint="eastAsia"/>
                <w:szCs w:val="21"/>
              </w:rPr>
              <w:t>编制了《绩效测量和监视控制程序》，检查内容有日常检查；目标指标检查；体系运行检查；日常检查由综合办公室每月对各个部门进行检查；目标指标由各个部门进行统计；</w:t>
            </w:r>
          </w:p>
          <w:p>
            <w:pPr>
              <w:spacing w:line="280" w:lineRule="exact"/>
              <w:ind w:firstLine="420" w:firstLineChars="200"/>
            </w:pPr>
            <w:r>
              <w:rPr>
                <w:rFonts w:hint="eastAsia"/>
                <w:szCs w:val="21"/>
              </w:rPr>
              <w:t>抽查《QEO目标/指标/管理方案完成情况检查表》，均合格</w:t>
            </w:r>
          </w:p>
          <w:p>
            <w:pPr>
              <w:spacing w:line="280" w:lineRule="exact"/>
              <w:ind w:firstLine="420" w:firstLineChars="200"/>
              <w:rPr>
                <w:rFonts w:hint="default" w:eastAsia="宋体"/>
                <w:szCs w:val="21"/>
                <w:lang w:val="en-US" w:eastAsia="zh-CN"/>
              </w:rPr>
            </w:pPr>
            <w:r>
              <w:rPr>
                <w:rFonts w:hint="eastAsia"/>
                <w:szCs w:val="21"/>
              </w:rPr>
              <w:t>抽查</w:t>
            </w:r>
            <w:r>
              <w:rPr>
                <w:rFonts w:hint="eastAsia"/>
                <w:szCs w:val="21"/>
                <w:lang w:eastAsia="zh-CN"/>
              </w:rPr>
              <w:t>《工作环境、安全检查表》，</w:t>
            </w:r>
            <w:r>
              <w:rPr>
                <w:rFonts w:hint="eastAsia"/>
                <w:szCs w:val="21"/>
                <w:lang w:val="en-US" w:eastAsia="zh-CN"/>
              </w:rPr>
              <w:t>抽2021年7月28日、2021年8月30日均无异常</w:t>
            </w:r>
          </w:p>
          <w:p>
            <w:pPr>
              <w:spacing w:line="280" w:lineRule="exact"/>
              <w:ind w:firstLine="420" w:firstLineChars="200"/>
              <w:rPr>
                <w:szCs w:val="21"/>
              </w:rPr>
            </w:pPr>
          </w:p>
        </w:tc>
        <w:tc>
          <w:tcPr>
            <w:tcW w:w="1558" w:type="dxa"/>
            <w:shd w:val="clear" w:color="auto" w:fill="auto"/>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24" w:type="dxa"/>
          </w:tcPr>
          <w:p>
            <w:r>
              <w:rPr>
                <w:rFonts w:hint="eastAsia"/>
              </w:rPr>
              <w:t>管理评审</w:t>
            </w:r>
          </w:p>
          <w:p/>
        </w:tc>
        <w:tc>
          <w:tcPr>
            <w:tcW w:w="1179" w:type="dxa"/>
          </w:tcPr>
          <w:p>
            <w:r>
              <w:rPr>
                <w:rFonts w:hint="eastAsia"/>
              </w:rPr>
              <w:t>QE</w:t>
            </w:r>
            <w:r>
              <w:t>O</w:t>
            </w:r>
            <w:r>
              <w:rPr>
                <w:rFonts w:hint="eastAsia"/>
              </w:rPr>
              <w:t>9.3</w:t>
            </w:r>
          </w:p>
        </w:tc>
        <w:tc>
          <w:tcPr>
            <w:tcW w:w="9848"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评审时间：计划编制日期2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，计划实施日期2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 评审方式：会议评审，编制：</w:t>
            </w:r>
            <w:r>
              <w:rPr>
                <w:rFonts w:hint="eastAsia" w:ascii="宋体" w:hAnsi="宋体" w:cs="宋体"/>
                <w:szCs w:val="21"/>
                <w:lang w:eastAsia="zh-CN"/>
              </w:rPr>
              <w:t>王益枫</w:t>
            </w:r>
            <w:r>
              <w:rPr>
                <w:rFonts w:hint="eastAsia" w:ascii="宋体" w:hAnsi="宋体" w:cs="宋体"/>
                <w:szCs w:val="21"/>
              </w:rPr>
              <w:t xml:space="preserve">  批准：</w:t>
            </w:r>
            <w:r>
              <w:rPr>
                <w:rFonts w:hint="eastAsia" w:ascii="宋体" w:hAnsi="宋体" w:cs="宋体"/>
                <w:szCs w:val="21"/>
                <w:lang w:eastAsia="zh-CN"/>
              </w:rPr>
              <w:t>田月华</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参加人员包括公司管理层和各部门负责人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before="31" w:beforeLines="10" w:line="400" w:lineRule="exact"/>
              <w:ind w:firstLine="480"/>
              <w:rPr>
                <w:rFonts w:hint="eastAsia" w:ascii="宋体" w:hAnsi="宋体" w:cs="宋体"/>
                <w:szCs w:val="21"/>
              </w:rPr>
            </w:pPr>
            <w:r>
              <w:rPr>
                <w:rFonts w:hint="eastAsia" w:ascii="宋体" w:hAnsi="宋体" w:cs="宋体"/>
                <w:szCs w:val="21"/>
              </w:rPr>
              <w:t>按计划的时间实施了管理评审。</w:t>
            </w:r>
            <w:r>
              <w:rPr>
                <w:rFonts w:hint="eastAsia" w:ascii="宋体" w:hAnsi="宋体" w:cs="宋体"/>
                <w:szCs w:val="21"/>
                <w:lang w:val="en-US" w:eastAsia="zh-CN"/>
              </w:rPr>
              <w:t>提供了</w:t>
            </w:r>
            <w:r>
              <w:rPr>
                <w:rFonts w:hint="eastAsia" w:ascii="宋体" w:hAnsi="宋体" w:cs="宋体"/>
                <w:szCs w:val="21"/>
              </w:rPr>
              <w:t>各部门提交体系工作总结，管理评审输入：内部审核情况</w:t>
            </w:r>
            <w:r>
              <w:rPr>
                <w:rFonts w:hint="eastAsia" w:ascii="宋体" w:hAnsi="宋体" w:cs="宋体"/>
                <w:szCs w:val="21"/>
                <w:lang w:eastAsia="zh-CN"/>
              </w:rPr>
              <w:t>、</w:t>
            </w:r>
            <w:r>
              <w:rPr>
                <w:rFonts w:hint="eastAsia" w:ascii="宋体" w:hAnsi="宋体" w:cs="宋体"/>
                <w:szCs w:val="21"/>
              </w:rPr>
              <w:t>顾客反馈——包括顾客及相关方满意或不满意及顾客的抱怨</w:t>
            </w:r>
            <w:r>
              <w:rPr>
                <w:rFonts w:hint="eastAsia" w:ascii="宋体" w:hAnsi="宋体" w:cs="宋体"/>
                <w:szCs w:val="21"/>
                <w:lang w:eastAsia="zh-CN"/>
              </w:rPr>
              <w:t>、</w:t>
            </w:r>
            <w:r>
              <w:rPr>
                <w:rFonts w:hint="eastAsia" w:ascii="宋体" w:hAnsi="宋体" w:cs="宋体"/>
                <w:szCs w:val="21"/>
              </w:rPr>
              <w:t>过程业绩——质量/环境/职业安全健康管理体系的过程是否达到了预期的结果</w:t>
            </w:r>
            <w:r>
              <w:rPr>
                <w:rFonts w:hint="eastAsia" w:ascii="宋体" w:hAnsi="宋体" w:cs="宋体"/>
                <w:szCs w:val="21"/>
                <w:lang w:eastAsia="zh-CN"/>
              </w:rPr>
              <w:t>、</w:t>
            </w:r>
            <w:r>
              <w:rPr>
                <w:rFonts w:hint="eastAsia" w:ascii="宋体" w:hAnsi="宋体" w:cs="宋体"/>
                <w:szCs w:val="21"/>
              </w:rPr>
              <w:t>产品环境安全指标的符合性——符合顾客、法律法规和公司自身的要求</w:t>
            </w:r>
            <w:r>
              <w:rPr>
                <w:rFonts w:hint="eastAsia" w:ascii="宋体" w:hAnsi="宋体" w:cs="宋体"/>
                <w:szCs w:val="21"/>
                <w:lang w:eastAsia="zh-CN"/>
              </w:rPr>
              <w:t>、</w:t>
            </w:r>
            <w:r>
              <w:rPr>
                <w:rFonts w:hint="eastAsia" w:ascii="宋体" w:hAnsi="宋体" w:cs="宋体"/>
                <w:szCs w:val="21"/>
              </w:rPr>
              <w:t>预防和纠正措施的跟踪措施的实施状况</w:t>
            </w:r>
            <w:r>
              <w:rPr>
                <w:rFonts w:hint="eastAsia" w:ascii="宋体" w:hAnsi="宋体" w:cs="宋体"/>
                <w:szCs w:val="21"/>
                <w:lang w:val="en-US" w:eastAsia="zh-CN"/>
              </w:rPr>
              <w:t>等</w:t>
            </w:r>
            <w:r>
              <w:rPr>
                <w:rFonts w:hint="eastAsia" w:ascii="宋体" w:hAnsi="宋体" w:cs="宋体"/>
                <w:szCs w:val="21"/>
              </w:rPr>
              <w:t>；</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参加人员包括公司总经理、管理者代表、各部门负责人</w:t>
            </w:r>
            <w:r>
              <w:rPr>
                <w:rFonts w:hint="eastAsia" w:ascii="宋体" w:hAnsi="宋体" w:cs="宋体"/>
                <w:szCs w:val="21"/>
                <w:lang w:eastAsia="zh-CN"/>
              </w:rPr>
              <w:t>。</w:t>
            </w:r>
          </w:p>
          <w:p>
            <w:pPr>
              <w:spacing w:line="280" w:lineRule="exact"/>
              <w:rPr>
                <w:rFonts w:ascii="宋体" w:hAnsi="宋体" w:cs="宋体"/>
                <w:szCs w:val="21"/>
              </w:rPr>
            </w:pPr>
            <w:r>
              <w:rPr>
                <w:rFonts w:hint="eastAsia" w:ascii="宋体" w:hAnsi="宋体" w:cs="宋体"/>
                <w:szCs w:val="21"/>
              </w:rPr>
              <w:t>3.管理评审报告</w:t>
            </w:r>
          </w:p>
          <w:p>
            <w:pPr>
              <w:spacing w:line="280" w:lineRule="exact"/>
              <w:ind w:firstLine="420" w:firstLineChars="200"/>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napToGrid w:val="0"/>
              <w:ind w:firstLine="420" w:firstLineChars="200"/>
              <w:rPr>
                <w:rFonts w:hint="eastAsia" w:ascii="宋体" w:hAnsi="宋体" w:cs="宋体"/>
                <w:szCs w:val="21"/>
              </w:rPr>
            </w:pPr>
            <w:r>
              <w:rPr>
                <w:rFonts w:hint="eastAsia" w:ascii="宋体" w:hAnsi="宋体" w:cs="宋体"/>
                <w:szCs w:val="21"/>
              </w:rPr>
              <w:t>需要改进的方面有：</w:t>
            </w:r>
          </w:p>
          <w:p>
            <w:pPr>
              <w:snapToGrid w:val="0"/>
              <w:ind w:firstLine="420" w:firstLineChars="200"/>
              <w:rPr>
                <w:rFonts w:hint="eastAsia" w:ascii="宋体" w:hAnsi="宋体" w:cs="宋体"/>
                <w:szCs w:val="21"/>
              </w:rPr>
            </w:pPr>
            <w:r>
              <w:rPr>
                <w:rFonts w:hint="eastAsia" w:ascii="宋体" w:hAnsi="宋体" w:cs="宋体"/>
                <w:szCs w:val="21"/>
              </w:rPr>
              <w:t>1、员工对标准体系文件还有待进一步提高，特别是新员工；</w:t>
            </w:r>
          </w:p>
          <w:p>
            <w:pPr>
              <w:snapToGrid w:val="0"/>
              <w:ind w:firstLine="420" w:firstLineChars="200"/>
              <w:rPr>
                <w:rFonts w:hint="eastAsia" w:ascii="宋体" w:hAnsi="宋体" w:cs="宋体"/>
                <w:szCs w:val="21"/>
              </w:rPr>
            </w:pPr>
            <w:r>
              <w:rPr>
                <w:rFonts w:hint="eastAsia" w:ascii="宋体" w:hAnsi="宋体" w:cs="宋体"/>
                <w:szCs w:val="21"/>
              </w:rPr>
              <w:t>2、各个部门职责权限还需细分，部门还存在“行未果，果未纠”的现象；</w:t>
            </w:r>
          </w:p>
          <w:p>
            <w:pPr>
              <w:snapToGrid w:val="0"/>
              <w:ind w:firstLine="420" w:firstLineChars="200"/>
              <w:rPr>
                <w:rFonts w:hint="eastAsia" w:ascii="宋体" w:hAnsi="宋体" w:cs="宋体"/>
                <w:szCs w:val="21"/>
              </w:rPr>
            </w:pPr>
            <w:r>
              <w:rPr>
                <w:rFonts w:hint="eastAsia" w:ascii="宋体" w:hAnsi="宋体" w:cs="宋体"/>
                <w:szCs w:val="21"/>
              </w:rPr>
              <w:t>3、对相关方还需进一步施加影响，提高其对质量环境安全的意识。</w:t>
            </w:r>
          </w:p>
          <w:p>
            <w:pPr>
              <w:snapToGrid w:val="0"/>
              <w:ind w:firstLine="420" w:firstLineChars="200"/>
              <w:rPr>
                <w:rFonts w:ascii="宋体" w:hAnsi="宋体" w:cs="宋体"/>
                <w:szCs w:val="21"/>
              </w:rPr>
            </w:pPr>
            <w:r>
              <w:rPr>
                <w:rFonts w:hint="eastAsia" w:ascii="宋体" w:hAnsi="宋体" w:cs="宋体"/>
                <w:szCs w:val="21"/>
              </w:rPr>
              <w:t>以上改进措施，目前正在实施中，后续可进一步关注。</w:t>
            </w:r>
          </w:p>
          <w:p>
            <w:pPr>
              <w:ind w:firstLine="420" w:firstLineChars="200"/>
              <w:jc w:val="left"/>
              <w:rPr>
                <w:rFonts w:ascii="宋体" w:hAnsi="宋体" w:cs="宋体"/>
                <w:szCs w:val="21"/>
              </w:rPr>
            </w:pPr>
            <w:r>
              <w:rPr>
                <w:rFonts w:hint="eastAsia" w:ascii="宋体" w:hAnsi="宋体" w:cs="宋体"/>
                <w:szCs w:val="21"/>
              </w:rPr>
              <w:t>查看有：各部门提交体系工作总结:</w:t>
            </w:r>
          </w:p>
          <w:p>
            <w:pPr>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58" w:type="dxa"/>
          </w:tcPr>
          <w:p/>
          <w:p>
            <w:r>
              <w:rPr>
                <w:rFonts w:hint="eastAsia"/>
              </w:rPr>
              <w:t>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24" w:type="dxa"/>
          </w:tcPr>
          <w:p>
            <w:r>
              <w:rPr>
                <w:rFonts w:hint="eastAsia"/>
              </w:rPr>
              <w:t>总则</w:t>
            </w:r>
          </w:p>
        </w:tc>
        <w:tc>
          <w:tcPr>
            <w:tcW w:w="1179" w:type="dxa"/>
          </w:tcPr>
          <w:p>
            <w:r>
              <w:rPr>
                <w:rFonts w:hint="eastAsia"/>
              </w:rPr>
              <w:t>QE</w:t>
            </w:r>
            <w:r>
              <w:t>O</w:t>
            </w:r>
            <w:r>
              <w:rPr>
                <w:rFonts w:hint="eastAsia"/>
              </w:rPr>
              <w:t>：10.1</w:t>
            </w:r>
          </w:p>
        </w:tc>
        <w:tc>
          <w:tcPr>
            <w:tcW w:w="9848"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5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24" w:type="dxa"/>
          </w:tcPr>
          <w:p>
            <w:r>
              <w:rPr>
                <w:rFonts w:hint="eastAsia"/>
              </w:rPr>
              <w:t>持续改进</w:t>
            </w:r>
          </w:p>
        </w:tc>
        <w:tc>
          <w:tcPr>
            <w:tcW w:w="1179" w:type="dxa"/>
          </w:tcPr>
          <w:p>
            <w:r>
              <w:rPr>
                <w:rFonts w:hint="eastAsia"/>
              </w:rPr>
              <w:t>QE</w:t>
            </w:r>
            <w:r>
              <w:t>O</w:t>
            </w:r>
            <w:r>
              <w:rPr>
                <w:rFonts w:hint="eastAsia"/>
              </w:rPr>
              <w:t xml:space="preserve"> 10.3</w:t>
            </w:r>
          </w:p>
        </w:tc>
        <w:tc>
          <w:tcPr>
            <w:tcW w:w="9848" w:type="dxa"/>
            <w:vAlign w:val="center"/>
          </w:tcPr>
          <w:p>
            <w:pPr>
              <w:spacing w:line="280" w:lineRule="exact"/>
              <w:rPr>
                <w:rFonts w:hint="eastAsia" w:ascii="宋体" w:hAnsi="宋体" w:cs="宋体"/>
                <w:szCs w:val="21"/>
              </w:rPr>
            </w:pPr>
            <w:r>
              <w:rPr>
                <w:rFonts w:hint="eastAsia" w:ascii="宋体" w:hAnsi="宋体" w:cs="宋体"/>
                <w:szCs w:val="21"/>
              </w:rPr>
              <w:t xml:space="preserve">    对持续改进确定措施，以消除潜在不合格的原因，防止不合格的发生。查其内容符合标准要求。询问负责人对预防措施实施的时机、方法和要求等，基本明确。预防措施：已制定应急预案等,预防潜在的不</w:t>
            </w:r>
          </w:p>
          <w:p>
            <w:pPr>
              <w:spacing w:line="280" w:lineRule="exact"/>
              <w:rPr>
                <w:rFonts w:hint="eastAsia" w:ascii="宋体" w:hAnsi="宋体" w:cs="宋体"/>
                <w:szCs w:val="21"/>
              </w:rPr>
            </w:pPr>
            <w:r>
              <w:rPr>
                <w:rFonts w:hint="eastAsia" w:ascii="宋体" w:hAnsi="宋体" w:cs="宋体"/>
                <w:szCs w:val="21"/>
              </w:rPr>
              <w:t>合格发生。有管理评审提出的改进计划，目前正在实施中。</w:t>
            </w:r>
            <w:r>
              <w:rPr>
                <w:rFonts w:hint="eastAsia" w:ascii="宋体" w:hAnsi="宋体" w:cs="宋体"/>
                <w:szCs w:val="21"/>
                <w:lang w:val="en-US" w:eastAsia="zh-CN"/>
              </w:rPr>
              <w:t>基</w:t>
            </w:r>
            <w:r>
              <w:rPr>
                <w:rFonts w:hint="eastAsia" w:ascii="宋体" w:hAnsi="宋体" w:cs="宋体"/>
                <w:szCs w:val="21"/>
              </w:rPr>
              <w:t>本建立自我完善的机制、并持续有效。</w:t>
            </w: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在《管理手册》中明确“持续改进”的要求。</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在持续改进方面，制定了《不合格控制程序》</w:t>
            </w:r>
            <w:r>
              <w:rPr>
                <w:rFonts w:hint="eastAsia" w:ascii="宋体" w:hAnsi="宋体" w:eastAsia="宋体" w:cs="宋体"/>
                <w:szCs w:val="21"/>
                <w:lang w:eastAsia="zh-CN"/>
              </w:rPr>
              <w:t>、</w:t>
            </w:r>
            <w:r>
              <w:rPr>
                <w:rFonts w:hint="eastAsia" w:ascii="宋体" w:hAnsi="宋体" w:eastAsia="宋体" w:cs="宋体"/>
                <w:szCs w:val="21"/>
              </w:rPr>
              <w:t>《不符合、纠正与预防措施控制程序》等相</w:t>
            </w:r>
            <w:r>
              <w:rPr>
                <w:rFonts w:hint="eastAsia" w:ascii="宋体" w:hAnsi="宋体" w:cs="宋体"/>
                <w:szCs w:val="21"/>
              </w:rPr>
              <w:t>关文件化信息要求，</w:t>
            </w:r>
          </w:p>
          <w:p>
            <w:pPr>
              <w:spacing w:line="280" w:lineRule="exact"/>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5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4" w:type="dxa"/>
          </w:tcPr>
          <w:p>
            <w:pPr>
              <w:spacing w:line="280" w:lineRule="exact"/>
              <w:rPr>
                <w:rFonts w:ascii="宋体" w:hAnsi="宋体" w:cs="宋体"/>
                <w:szCs w:val="21"/>
              </w:rPr>
            </w:pPr>
            <w:r>
              <w:rPr>
                <w:rFonts w:hint="eastAsia" w:ascii="宋体" w:hAnsi="宋体" w:cs="宋体"/>
                <w:szCs w:val="21"/>
              </w:rPr>
              <w:t>上级产品抽查情况</w:t>
            </w:r>
          </w:p>
        </w:tc>
        <w:tc>
          <w:tcPr>
            <w:tcW w:w="1179" w:type="dxa"/>
          </w:tcPr>
          <w:p>
            <w:pPr>
              <w:spacing w:line="280" w:lineRule="exact"/>
              <w:rPr>
                <w:rFonts w:ascii="宋体" w:hAnsi="宋体" w:cs="宋体"/>
                <w:szCs w:val="21"/>
              </w:rPr>
            </w:pPr>
          </w:p>
        </w:tc>
        <w:tc>
          <w:tcPr>
            <w:tcW w:w="9848" w:type="dxa"/>
          </w:tcPr>
          <w:p>
            <w:pPr>
              <w:spacing w:line="280" w:lineRule="exact"/>
              <w:rPr>
                <w:rFonts w:ascii="宋体" w:hAnsi="宋体" w:cs="宋体"/>
                <w:szCs w:val="21"/>
              </w:rPr>
            </w:pPr>
            <w:r>
              <w:rPr>
                <w:rFonts w:hint="eastAsia" w:ascii="宋体" w:hAnsi="宋体" w:cs="宋体"/>
                <w:szCs w:val="21"/>
              </w:rPr>
              <w:t>未有上级检查情况发生；</w:t>
            </w:r>
          </w:p>
        </w:tc>
        <w:tc>
          <w:tcPr>
            <w:tcW w:w="155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24" w:type="dxa"/>
          </w:tcPr>
          <w:p>
            <w:pPr>
              <w:spacing w:line="440" w:lineRule="exact"/>
              <w:rPr>
                <w:rFonts w:hint="default" w:ascii="仿宋_GB2312" w:hAnsi="仿宋" w:eastAsia="宋体" w:cs="宋体"/>
                <w:sz w:val="24"/>
                <w:szCs w:val="24"/>
                <w:lang w:val="en-US" w:eastAsia="zh-CN"/>
              </w:rPr>
            </w:pPr>
            <w:r>
              <w:rPr>
                <w:rFonts w:hint="eastAsia"/>
                <w:color w:val="000000"/>
                <w:szCs w:val="21"/>
              </w:rPr>
              <w:t>顾客满意、相关方投诉及处理情况</w:t>
            </w:r>
            <w:r>
              <w:rPr>
                <w:rFonts w:hint="eastAsia"/>
                <w:color w:val="000000"/>
                <w:szCs w:val="21"/>
                <w:lang w:eastAsia="zh-CN"/>
              </w:rPr>
              <w:t>、</w:t>
            </w:r>
            <w:r>
              <w:rPr>
                <w:rFonts w:hint="eastAsia"/>
                <w:color w:val="000000"/>
                <w:szCs w:val="21"/>
                <w:lang w:val="en-US" w:eastAsia="zh-CN"/>
              </w:rPr>
              <w:t>初审不符合整改情况</w:t>
            </w:r>
          </w:p>
        </w:tc>
        <w:tc>
          <w:tcPr>
            <w:tcW w:w="1179" w:type="dxa"/>
          </w:tcPr>
          <w:p>
            <w:pPr>
              <w:spacing w:line="440" w:lineRule="exact"/>
              <w:rPr>
                <w:rFonts w:ascii="仿宋_GB2312" w:hAnsi="仿宋" w:eastAsia="仿宋_GB2312" w:cs="宋体"/>
                <w:sz w:val="24"/>
                <w:szCs w:val="24"/>
              </w:rPr>
            </w:pPr>
          </w:p>
        </w:tc>
        <w:tc>
          <w:tcPr>
            <w:tcW w:w="9848" w:type="dxa"/>
          </w:tcPr>
          <w:p>
            <w:pPr>
              <w:spacing w:line="280" w:lineRule="exact"/>
            </w:pPr>
            <w:r>
              <w:rPr>
                <w:rFonts w:hint="eastAsia"/>
              </w:rPr>
              <w:t>未收到顾客大投诉；电话顾客电话及时处理；</w:t>
            </w:r>
          </w:p>
          <w:p>
            <w:pPr>
              <w:pStyle w:val="2"/>
              <w:jc w:val="left"/>
              <w:rPr>
                <w:rFonts w:hint="default" w:eastAsia="宋体"/>
                <w:lang w:val="en-US" w:eastAsia="zh-CN"/>
              </w:rPr>
            </w:pPr>
            <w:r>
              <w:rPr>
                <w:rFonts w:hint="eastAsia" w:ascii="Times New Roman" w:hAnsi="Times New Roman" w:eastAsia="宋体" w:cs="Times New Roman"/>
                <w:b w:val="0"/>
                <w:bCs w:val="0"/>
                <w:kern w:val="2"/>
                <w:sz w:val="21"/>
                <w:lang w:val="en-US" w:eastAsia="zh-CN" w:bidi="ar-SA"/>
              </w:rPr>
              <w:t>现场查看初审不符合项（计量器具没校准）已整改</w:t>
            </w:r>
          </w:p>
        </w:tc>
        <w:tc>
          <w:tcPr>
            <w:tcW w:w="1558" w:type="dxa"/>
          </w:tcPr>
          <w:p>
            <w:r>
              <w:rPr>
                <w:rFonts w:hint="eastAsia"/>
              </w:rPr>
              <w:t>Y</w:t>
            </w:r>
          </w:p>
        </w:tc>
      </w:tr>
    </w:tbl>
    <w:p>
      <w:r>
        <w:ptab w:relativeTo="margin" w:alignment="center" w:leader="none"/>
      </w:r>
    </w:p>
    <w:p>
      <w:pPr>
        <w:pStyle w:val="5"/>
      </w:pPr>
      <w:r>
        <w:rPr>
          <w:rFonts w:hint="eastAsia"/>
        </w:rPr>
        <w:t xml:space="preserve">说明：不符合标注N;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B4A"/>
    <w:multiLevelType w:val="multilevel"/>
    <w:tmpl w:val="1CAF0B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FB0934"/>
    <w:multiLevelType w:val="multilevel"/>
    <w:tmpl w:val="2EFB09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255097"/>
    <w:multiLevelType w:val="multilevel"/>
    <w:tmpl w:val="332550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2E67B3"/>
    <w:multiLevelType w:val="multilevel"/>
    <w:tmpl w:val="4F2E67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770BEC"/>
    <w:multiLevelType w:val="multilevel"/>
    <w:tmpl w:val="51770B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197C9B"/>
    <w:multiLevelType w:val="singleLevel"/>
    <w:tmpl w:val="58197C9B"/>
    <w:lvl w:ilvl="0" w:tentative="0">
      <w:start w:val="1"/>
      <w:numFmt w:val="decimal"/>
      <w:lvlText w:val="%1)"/>
      <w:lvlJc w:val="left"/>
      <w:pPr>
        <w:ind w:left="425" w:hanging="425"/>
      </w:pPr>
      <w:rPr>
        <w:rFonts w:hint="default"/>
      </w:rPr>
    </w:lvl>
  </w:abstractNum>
  <w:abstractNum w:abstractNumId="6">
    <w:nsid w:val="7A0F734F"/>
    <w:multiLevelType w:val="multilevel"/>
    <w:tmpl w:val="7A0F73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2754CF"/>
    <w:multiLevelType w:val="multilevel"/>
    <w:tmpl w:val="7B2754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0"/>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215"/>
    <w:rsid w:val="00050E91"/>
    <w:rsid w:val="00056D73"/>
    <w:rsid w:val="00086414"/>
    <w:rsid w:val="0009358B"/>
    <w:rsid w:val="000B7900"/>
    <w:rsid w:val="000F7902"/>
    <w:rsid w:val="00120419"/>
    <w:rsid w:val="00127F7B"/>
    <w:rsid w:val="00183A7A"/>
    <w:rsid w:val="001C0BE2"/>
    <w:rsid w:val="001D15DD"/>
    <w:rsid w:val="001D6F6D"/>
    <w:rsid w:val="00215751"/>
    <w:rsid w:val="002216D6"/>
    <w:rsid w:val="0022273D"/>
    <w:rsid w:val="00230478"/>
    <w:rsid w:val="0024000C"/>
    <w:rsid w:val="00275B91"/>
    <w:rsid w:val="002A499B"/>
    <w:rsid w:val="002E77ED"/>
    <w:rsid w:val="002F57A7"/>
    <w:rsid w:val="003010DA"/>
    <w:rsid w:val="003026A0"/>
    <w:rsid w:val="003355C6"/>
    <w:rsid w:val="0035025B"/>
    <w:rsid w:val="00357FBC"/>
    <w:rsid w:val="003A12CC"/>
    <w:rsid w:val="003A7C59"/>
    <w:rsid w:val="003B7004"/>
    <w:rsid w:val="003F0B00"/>
    <w:rsid w:val="003F6E8A"/>
    <w:rsid w:val="004078AB"/>
    <w:rsid w:val="00455F8D"/>
    <w:rsid w:val="00470A70"/>
    <w:rsid w:val="00477697"/>
    <w:rsid w:val="004B16A6"/>
    <w:rsid w:val="004D0A48"/>
    <w:rsid w:val="004E246B"/>
    <w:rsid w:val="004E60A3"/>
    <w:rsid w:val="005745D2"/>
    <w:rsid w:val="005755B8"/>
    <w:rsid w:val="00576CAA"/>
    <w:rsid w:val="00594E5D"/>
    <w:rsid w:val="005B321D"/>
    <w:rsid w:val="005C320D"/>
    <w:rsid w:val="005D0341"/>
    <w:rsid w:val="005D1510"/>
    <w:rsid w:val="005F00FB"/>
    <w:rsid w:val="006057D1"/>
    <w:rsid w:val="00641500"/>
    <w:rsid w:val="0069333A"/>
    <w:rsid w:val="006A08AC"/>
    <w:rsid w:val="006A1B81"/>
    <w:rsid w:val="006A2474"/>
    <w:rsid w:val="006D0B66"/>
    <w:rsid w:val="006D6AFE"/>
    <w:rsid w:val="00721370"/>
    <w:rsid w:val="007221A0"/>
    <w:rsid w:val="00747388"/>
    <w:rsid w:val="00750008"/>
    <w:rsid w:val="007A76A3"/>
    <w:rsid w:val="007C0F0A"/>
    <w:rsid w:val="007C65D6"/>
    <w:rsid w:val="007F6717"/>
    <w:rsid w:val="00813AC5"/>
    <w:rsid w:val="008348BE"/>
    <w:rsid w:val="008372E7"/>
    <w:rsid w:val="00856A6B"/>
    <w:rsid w:val="00860318"/>
    <w:rsid w:val="008F4257"/>
    <w:rsid w:val="00914040"/>
    <w:rsid w:val="00916636"/>
    <w:rsid w:val="009221D5"/>
    <w:rsid w:val="00930E65"/>
    <w:rsid w:val="00930E9B"/>
    <w:rsid w:val="00951F9E"/>
    <w:rsid w:val="00954EA8"/>
    <w:rsid w:val="009B5FE3"/>
    <w:rsid w:val="009C3AF7"/>
    <w:rsid w:val="009D77EF"/>
    <w:rsid w:val="009E5DAF"/>
    <w:rsid w:val="009F285C"/>
    <w:rsid w:val="00A07938"/>
    <w:rsid w:val="00A51AFC"/>
    <w:rsid w:val="00AA678E"/>
    <w:rsid w:val="00AB02D4"/>
    <w:rsid w:val="00AB5390"/>
    <w:rsid w:val="00AD580B"/>
    <w:rsid w:val="00B1324F"/>
    <w:rsid w:val="00B36031"/>
    <w:rsid w:val="00B54B1D"/>
    <w:rsid w:val="00B67994"/>
    <w:rsid w:val="00B91042"/>
    <w:rsid w:val="00B94330"/>
    <w:rsid w:val="00BB6546"/>
    <w:rsid w:val="00BD667E"/>
    <w:rsid w:val="00BE457D"/>
    <w:rsid w:val="00C215EB"/>
    <w:rsid w:val="00C2320A"/>
    <w:rsid w:val="00C57608"/>
    <w:rsid w:val="00CA65CB"/>
    <w:rsid w:val="00D45DC5"/>
    <w:rsid w:val="00D56FEB"/>
    <w:rsid w:val="00DA15F4"/>
    <w:rsid w:val="00DD4B80"/>
    <w:rsid w:val="00DE74D6"/>
    <w:rsid w:val="00DF04E0"/>
    <w:rsid w:val="00DF34B6"/>
    <w:rsid w:val="00E05C56"/>
    <w:rsid w:val="00E20D6B"/>
    <w:rsid w:val="00E417E8"/>
    <w:rsid w:val="00E562BE"/>
    <w:rsid w:val="00E57B8C"/>
    <w:rsid w:val="00E61681"/>
    <w:rsid w:val="00E76B01"/>
    <w:rsid w:val="00EF3EBB"/>
    <w:rsid w:val="00F231C0"/>
    <w:rsid w:val="00F41319"/>
    <w:rsid w:val="00F804BA"/>
    <w:rsid w:val="00FA267B"/>
    <w:rsid w:val="077375C8"/>
    <w:rsid w:val="0A020004"/>
    <w:rsid w:val="0A3A6D43"/>
    <w:rsid w:val="0DFE2706"/>
    <w:rsid w:val="0E606054"/>
    <w:rsid w:val="0EAA7EFA"/>
    <w:rsid w:val="0FD04016"/>
    <w:rsid w:val="12F77BCF"/>
    <w:rsid w:val="13461F26"/>
    <w:rsid w:val="13747214"/>
    <w:rsid w:val="1A233F89"/>
    <w:rsid w:val="1B8B41B1"/>
    <w:rsid w:val="1BB822EB"/>
    <w:rsid w:val="1D680D73"/>
    <w:rsid w:val="20D93F3D"/>
    <w:rsid w:val="21554B86"/>
    <w:rsid w:val="24E00B6A"/>
    <w:rsid w:val="25197687"/>
    <w:rsid w:val="254D0FE0"/>
    <w:rsid w:val="275F0AFE"/>
    <w:rsid w:val="28BD38EE"/>
    <w:rsid w:val="2921206D"/>
    <w:rsid w:val="2924670A"/>
    <w:rsid w:val="299434B8"/>
    <w:rsid w:val="2F6138DB"/>
    <w:rsid w:val="300262D9"/>
    <w:rsid w:val="30D545D0"/>
    <w:rsid w:val="33C750C6"/>
    <w:rsid w:val="360E5919"/>
    <w:rsid w:val="3622189E"/>
    <w:rsid w:val="3628243A"/>
    <w:rsid w:val="37051A3B"/>
    <w:rsid w:val="37D64A27"/>
    <w:rsid w:val="3A75135F"/>
    <w:rsid w:val="3AAD1E6E"/>
    <w:rsid w:val="3AD04B89"/>
    <w:rsid w:val="3B100BA1"/>
    <w:rsid w:val="3BBA3E65"/>
    <w:rsid w:val="3C8C04E5"/>
    <w:rsid w:val="40B14F74"/>
    <w:rsid w:val="41681AD3"/>
    <w:rsid w:val="41BF3111"/>
    <w:rsid w:val="41D1643E"/>
    <w:rsid w:val="46280378"/>
    <w:rsid w:val="47E82CE4"/>
    <w:rsid w:val="49B06A6B"/>
    <w:rsid w:val="4A145AF1"/>
    <w:rsid w:val="4E2216D4"/>
    <w:rsid w:val="51D63C08"/>
    <w:rsid w:val="52E242B6"/>
    <w:rsid w:val="55B15F68"/>
    <w:rsid w:val="566A3D82"/>
    <w:rsid w:val="57EF172D"/>
    <w:rsid w:val="58022A43"/>
    <w:rsid w:val="58665032"/>
    <w:rsid w:val="586A4180"/>
    <w:rsid w:val="5FBC1751"/>
    <w:rsid w:val="5FCB2A2F"/>
    <w:rsid w:val="60CC0480"/>
    <w:rsid w:val="610D7D8D"/>
    <w:rsid w:val="62482C1D"/>
    <w:rsid w:val="63A67E66"/>
    <w:rsid w:val="661D123F"/>
    <w:rsid w:val="66C05CE0"/>
    <w:rsid w:val="66EA2161"/>
    <w:rsid w:val="682B77EE"/>
    <w:rsid w:val="693D6493"/>
    <w:rsid w:val="6981109F"/>
    <w:rsid w:val="6C3C0671"/>
    <w:rsid w:val="6D083DB1"/>
    <w:rsid w:val="6D4B096F"/>
    <w:rsid w:val="6F832FAB"/>
    <w:rsid w:val="71415707"/>
    <w:rsid w:val="71B86D4C"/>
    <w:rsid w:val="74047016"/>
    <w:rsid w:val="748A4FA1"/>
    <w:rsid w:val="74A13645"/>
    <w:rsid w:val="74B37453"/>
    <w:rsid w:val="793E72FC"/>
    <w:rsid w:val="79754E77"/>
    <w:rsid w:val="7D8C5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line="312" w:lineRule="auto"/>
    </w:pPr>
    <w:rPr>
      <w:rFonts w:ascii="Arial" w:hAnsi="Arial" w:eastAsia="楷体_GB2312"/>
      <w:spacing w:val="2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6">
    <w:name w:val="List Paragraph"/>
    <w:basedOn w:val="1"/>
    <w:qFormat/>
    <w:uiPriority w:val="99"/>
    <w:pPr>
      <w:ind w:firstLine="420" w:firstLineChars="200"/>
    </w:pPr>
  </w:style>
  <w:style w:type="character" w:customStyle="1" w:styleId="17">
    <w:name w:val="正文文本 字符"/>
    <w:basedOn w:val="9"/>
    <w:link w:val="3"/>
    <w:qFormat/>
    <w:uiPriority w:val="0"/>
    <w:rPr>
      <w:rFonts w:ascii="Arial" w:hAnsi="Arial" w:eastAsia="楷体_GB2312"/>
      <w:spacing w:val="20"/>
      <w:kern w:val="2"/>
      <w:sz w:val="24"/>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1558</Words>
  <Characters>8885</Characters>
  <Lines>74</Lines>
  <Paragraphs>20</Paragraphs>
  <TotalTime>2</TotalTime>
  <ScaleCrop>false</ScaleCrop>
  <LinksUpToDate>false</LinksUpToDate>
  <CharactersWithSpaces>10423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春华秋实</cp:lastModifiedBy>
  <dcterms:modified xsi:type="dcterms:W3CDTF">2021-09-27T06:09:51Z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54329ABC62144D9CA1338194896DB33F</vt:lpwstr>
  </property>
</Properties>
</file>