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技术部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马延龙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周凯丽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de-DE"/>
              </w:rPr>
              <w:t>张磊</w:t>
            </w:r>
            <w:r>
              <w:rPr>
                <w:rFonts w:hint="eastAsia"/>
                <w:sz w:val="24"/>
                <w:szCs w:val="24"/>
                <w:lang w:val="de-DE" w:eastAsia="zh-CN"/>
              </w:rPr>
              <w:t>、王建红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2021.9.25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8.3设计开发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EO: 5.3组织的岗位、职责和权限、</w:t>
            </w:r>
            <w:r>
              <w:rPr>
                <w:rFonts w:hint="eastAsia" w:ascii="宋体" w:hAnsi="宋体" w:cs="Arial"/>
                <w:szCs w:val="21"/>
              </w:rPr>
              <w:t>6.2目标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Cs w:val="21"/>
              </w:rPr>
              <w:t>8.1运行策划和控制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QMS:5.3</w:t>
            </w:r>
          </w:p>
          <w:p>
            <w:r>
              <w:rPr>
                <w:rFonts w:ascii="宋体" w:hAnsi="宋体" w:cs="Arial"/>
                <w:szCs w:val="21"/>
              </w:rPr>
              <w:t>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本部门主要负责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环卫平台软件的开发、测试以及故障解决相关的质量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环境、职业健康安全管理活动的实施与执行.</w:t>
            </w:r>
          </w:p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技术部</w:t>
            </w:r>
            <w:r>
              <w:rPr>
                <w:rFonts w:hint="eastAsia"/>
                <w:color w:val="000000"/>
                <w:szCs w:val="21"/>
              </w:rPr>
              <w:t>负责人沟通，描述的职责和权限与一体化管理体系的职能分配表基本一致。</w:t>
            </w:r>
          </w:p>
          <w:p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有办公桌、电脑、空调等能满足部门体系运行需求。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环境因素识别、危险源识别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</w:t>
            </w:r>
            <w:r>
              <w:rPr>
                <w:rFonts w:ascii="宋体" w:hAnsi="宋体" w:cs="宋体"/>
                <w:szCs w:val="21"/>
              </w:rPr>
              <w:t>6.1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2</w:t>
            </w:r>
          </w:p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rFonts w:ascii="宋体" w:hAnsi="宋体" w:cs="宋体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1)提供《环境因素识别与评价</w:t>
            </w:r>
            <w:r>
              <w:rPr>
                <w:rFonts w:hint="eastAsia"/>
                <w:szCs w:val="21"/>
                <w:lang w:val="en-US" w:eastAsia="zh-CN"/>
              </w:rPr>
              <w:t>控制</w:t>
            </w:r>
            <w:r>
              <w:rPr>
                <w:rFonts w:hint="eastAsia"/>
                <w:szCs w:val="21"/>
              </w:rPr>
              <w:t>程序》用以指导进行环境因素的识别、登记评价，以确定重要环境因素以及对环境因素的定期更新，环境因素的识别和确定考虑生命周期观点。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提供了“环境因素清单”，识别的环境因素标明时态、状态和对环境的影响；经查阅识别出对在办公活动中产生的</w:t>
            </w:r>
            <w:r>
              <w:rPr>
                <w:rFonts w:hint="eastAsia" w:ascii="宋体" w:hAnsi="宋体" w:cs="宋体"/>
                <w:szCs w:val="21"/>
              </w:rPr>
              <w:t>为</w:t>
            </w:r>
            <w:r>
              <w:rPr>
                <w:rFonts w:hint="eastAsia"/>
                <w:color w:val="000000"/>
                <w:szCs w:val="21"/>
              </w:rPr>
              <w:t>固废排放</w:t>
            </w:r>
            <w:r>
              <w:rPr>
                <w:rFonts w:hint="eastAsia" w:ascii="宋体" w:hAnsi="宋体" w:cs="宋体"/>
                <w:szCs w:val="21"/>
              </w:rPr>
              <w:t>、水电消耗、潜在火灾等</w:t>
            </w:r>
            <w:r>
              <w:rPr>
                <w:rFonts w:hint="eastAsia"/>
                <w:szCs w:val="21"/>
              </w:rPr>
              <w:t>等环境因素。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重要环境因素采用经验/直接判断法，由各部门有管理经验的人员共同讨论、采用直接判断的方法确定重要环境因素，提供了“重要环境因素清单”：本部门的重要环境因素：</w:t>
            </w:r>
            <w:r>
              <w:rPr>
                <w:rFonts w:hint="eastAsia"/>
                <w:color w:val="000000"/>
                <w:szCs w:val="21"/>
              </w:rPr>
              <w:t>固废排放</w:t>
            </w:r>
            <w:r>
              <w:rPr>
                <w:rFonts w:hint="eastAsia" w:ascii="宋体" w:hAnsi="宋体" w:cs="宋体"/>
                <w:szCs w:val="21"/>
              </w:rPr>
              <w:t>、水电消耗、潜在火灾</w:t>
            </w:r>
            <w:r>
              <w:rPr>
                <w:rFonts w:hint="eastAsia"/>
                <w:szCs w:val="21"/>
              </w:rPr>
              <w:t>；提供了针对重要环境因素，编的环境目标、指标及管理方案，内容包括：目标指标、实施方法与预计资金、完成日期、检查部门等。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2）提供了公司制定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ascii="宋体" w:hAnsi="宋体" w:eastAsia="宋体"/>
                <w:sz w:val="21"/>
              </w:rPr>
              <w:t>危险源识别和风险评价控制程序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提供了“危险源辨识和风险评价表”，对活动场所产生的危险源辨识并进行风险评价，以确定控制措施，经查阅已辨识外出</w:t>
            </w:r>
            <w:r>
              <w:rPr>
                <w:rFonts w:hint="eastAsia" w:ascii="宋体" w:hAnsi="宋体" w:cs="宋体"/>
                <w:szCs w:val="21"/>
              </w:rPr>
              <w:t>触电、潜在火灾事故、交通事故、意外工伤事故</w:t>
            </w:r>
            <w:r>
              <w:rPr>
                <w:rFonts w:hint="eastAsia"/>
                <w:szCs w:val="21"/>
              </w:rPr>
              <w:t>等危险因素。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由各部门有管理经验的人员共同讨论、采用直接判断的方法确定不可接受风险。提供了“不可接受风险清单”涉及本部门的不可接受风险有：</w:t>
            </w:r>
            <w:r>
              <w:rPr>
                <w:rFonts w:hint="eastAsia" w:ascii="宋体" w:hAnsi="宋体" w:cs="宋体"/>
                <w:szCs w:val="21"/>
              </w:rPr>
              <w:t>潜在火灾事故、交通事故、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触电</w:t>
            </w:r>
            <w:r>
              <w:rPr>
                <w:rFonts w:hint="eastAsia" w:ascii="宋体" w:hAnsi="宋体" w:cs="宋体"/>
                <w:szCs w:val="21"/>
              </w:rPr>
              <w:t>事故等</w:t>
            </w:r>
            <w:r>
              <w:rPr>
                <w:rFonts w:hint="eastAsia"/>
                <w:szCs w:val="21"/>
              </w:rPr>
              <w:t>；针对不可接受风险编制了职业健康安全目标、指标及管理方案，内容包括：目标指标、实施方法与预计资金、完成日期、检查部门等。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质量目标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Cs w:val="21"/>
              </w:rPr>
              <w:t>QMS:</w:t>
            </w:r>
            <w:r>
              <w:rPr>
                <w:rFonts w:hint="eastAsia"/>
              </w:rPr>
              <w:t>6</w:t>
            </w:r>
            <w:r>
              <w:t>.2</w:t>
            </w:r>
          </w:p>
          <w:p>
            <w:r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管理目标有：                            </w:t>
            </w:r>
          </w:p>
          <w:tbl>
            <w:tblPr>
              <w:tblStyle w:val="7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6"/>
              <w:gridCol w:w="2700"/>
              <w:gridCol w:w="937"/>
              <w:gridCol w:w="1631"/>
              <w:gridCol w:w="1632"/>
              <w:gridCol w:w="16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6" w:type="dxa"/>
                  <w:vMerge w:val="restart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技术部</w:t>
                  </w:r>
                </w:p>
              </w:tc>
              <w:tc>
                <w:tcPr>
                  <w:tcW w:w="270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  <w:t>软件交付后响应时间时间RT：</w:t>
                  </w:r>
                </w:p>
              </w:tc>
              <w:tc>
                <w:tcPr>
                  <w:tcW w:w="93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  <w:t>小于0.3秒</w:t>
                  </w:r>
                </w:p>
              </w:tc>
              <w:tc>
                <w:tcPr>
                  <w:tcW w:w="1631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  <w:t>每月一次抽查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  <w:t>0.2S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6" w:type="dxa"/>
                  <w:vMerge w:val="continue"/>
                </w:tcPr>
                <w:p>
                  <w:pPr>
                    <w:spacing w:line="280" w:lineRule="exact"/>
                    <w:rPr>
                      <w:rFonts w:hint="eastAsia"/>
                      <w:color w:val="000000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0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  <w:t>软件稳定性：2000小时内，故障次数</w:t>
                  </w: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；</w:t>
                  </w:r>
                </w:p>
              </w:tc>
              <w:tc>
                <w:tcPr>
                  <w:tcW w:w="93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  <w:t>小于1次</w:t>
                  </w:r>
                </w:p>
              </w:tc>
              <w:tc>
                <w:tcPr>
                  <w:tcW w:w="1631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事件登记信息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6" w:type="dxa"/>
                  <w:vMerge w:val="continue"/>
                </w:tcPr>
                <w:p>
                  <w:pPr>
                    <w:spacing w:line="280" w:lineRule="exact"/>
                    <w:rPr>
                      <w:rFonts w:hint="eastAsia"/>
                      <w:color w:val="000000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0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default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  <w:t>故障解决及时率</w:t>
                  </w:r>
                </w:p>
              </w:tc>
              <w:tc>
                <w:tcPr>
                  <w:tcW w:w="93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631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事件登记信息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6" w:type="dxa"/>
                  <w:vMerge w:val="continue"/>
                </w:tcPr>
                <w:p>
                  <w:pPr>
                    <w:spacing w:line="280" w:lineRule="exact"/>
                    <w:rPr>
                      <w:rFonts w:hint="eastAsia"/>
                      <w:color w:val="000000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0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环境、职业健康安全运行检查按时完成率</w:t>
                  </w:r>
                </w:p>
              </w:tc>
              <w:tc>
                <w:tcPr>
                  <w:tcW w:w="93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631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运行检查统计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6" w:type="dxa"/>
                  <w:vMerge w:val="continue"/>
                </w:tcPr>
                <w:p>
                  <w:pPr>
                    <w:spacing w:line="280" w:lineRule="exact"/>
                    <w:rPr>
                      <w:rFonts w:hint="eastAsia"/>
                      <w:color w:val="000000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0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固体废弃物按规分类存放、处置率</w:t>
                  </w:r>
                </w:p>
              </w:tc>
              <w:tc>
                <w:tcPr>
                  <w:tcW w:w="93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631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检查数据统计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6" w:type="dxa"/>
                  <w:vMerge w:val="continue"/>
                </w:tcPr>
                <w:p>
                  <w:pPr>
                    <w:spacing w:line="280" w:lineRule="exact"/>
                    <w:rPr>
                      <w:rFonts w:hint="eastAsia"/>
                      <w:color w:val="000000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0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环境、职业健康安全运行检查合格率</w:t>
                  </w:r>
                </w:p>
              </w:tc>
              <w:tc>
                <w:tcPr>
                  <w:tcW w:w="93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≥95%</w:t>
                  </w:r>
                </w:p>
              </w:tc>
              <w:tc>
                <w:tcPr>
                  <w:tcW w:w="1631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检查信息统计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符合</w:t>
                  </w:r>
                </w:p>
              </w:tc>
            </w:tr>
          </w:tbl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目标可测量，与公司方针一致。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管理目标完成情况：查到20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部门管理目标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考核情况</w:t>
            </w:r>
            <w:r>
              <w:rPr>
                <w:rFonts w:hint="eastAsia"/>
                <w:color w:val="000000"/>
                <w:szCs w:val="21"/>
              </w:rPr>
              <w:t>，以上管理目标已全部完成，考核：</w:t>
            </w:r>
            <w:r>
              <w:rPr>
                <w:rFonts w:hint="eastAsia" w:eastAsia="宋体"/>
                <w:color w:val="auto"/>
                <w:lang w:val="en-US" w:eastAsia="zh-CN"/>
              </w:rPr>
              <w:t>王益枫</w:t>
            </w:r>
            <w:r>
              <w:rPr>
                <w:rFonts w:hint="eastAsia"/>
                <w:color w:val="000000"/>
                <w:szCs w:val="21"/>
              </w:rPr>
              <w:t xml:space="preserve"> 审批：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田月华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60" w:type="dxa"/>
          </w:tcPr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</w:p>
          <w:p>
            <w:pPr>
              <w:spacing w:line="28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由综合部统一处置办公固废（墨盒、硒鼓等）、检查用电安全、消防设施等。目前上下班供销部人员配戴口罩防护设施，综合部统一组织上班人员测量体温并登记信息，对外来人员进行温度测量及查看健康码。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应急响应和准备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详见综合部审核记录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产品的设计开发</w:t>
            </w:r>
          </w:p>
        </w:tc>
        <w:tc>
          <w:tcPr>
            <w:tcW w:w="960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Q8.3</w:t>
            </w:r>
          </w:p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此次审核为认证范围：‘</w:t>
            </w:r>
            <w:r>
              <w:rPr>
                <w:sz w:val="20"/>
              </w:rPr>
              <w:t>城市生活垃圾分类</w:t>
            </w:r>
            <w:r>
              <w:rPr>
                <w:rFonts w:hint="eastAsia"/>
                <w:sz w:val="20"/>
                <w:lang w:eastAsia="zh-CN"/>
              </w:rPr>
              <w:t>’</w:t>
            </w:r>
            <w:r>
              <w:rPr>
                <w:rFonts w:hint="eastAsia"/>
                <w:sz w:val="20"/>
                <w:lang w:val="en-US" w:eastAsia="zh-CN"/>
              </w:rPr>
              <w:t>的扩项审核，针对</w:t>
            </w:r>
            <w:r>
              <w:rPr>
                <w:sz w:val="20"/>
              </w:rPr>
              <w:t>城市生活垃圾分类</w:t>
            </w:r>
            <w:r>
              <w:rPr>
                <w:rFonts w:hint="eastAsia"/>
                <w:sz w:val="20"/>
                <w:lang w:eastAsia="zh-CN"/>
              </w:rPr>
              <w:t>，</w:t>
            </w:r>
            <w:r>
              <w:rPr>
                <w:rFonts w:hint="eastAsia"/>
              </w:rPr>
              <w:t>受审核组织没有设计开发的责任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此条款不适用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11"/>
    <w:rsid w:val="000F2CEF"/>
    <w:rsid w:val="00162691"/>
    <w:rsid w:val="00263638"/>
    <w:rsid w:val="00295CDC"/>
    <w:rsid w:val="002F484C"/>
    <w:rsid w:val="00315297"/>
    <w:rsid w:val="00321960"/>
    <w:rsid w:val="00344AA3"/>
    <w:rsid w:val="00347B79"/>
    <w:rsid w:val="00355ECC"/>
    <w:rsid w:val="0036229B"/>
    <w:rsid w:val="003D7B7D"/>
    <w:rsid w:val="003F33A8"/>
    <w:rsid w:val="00401666"/>
    <w:rsid w:val="0049604C"/>
    <w:rsid w:val="004D0690"/>
    <w:rsid w:val="00507E92"/>
    <w:rsid w:val="005B20B0"/>
    <w:rsid w:val="00605D58"/>
    <w:rsid w:val="00655A1D"/>
    <w:rsid w:val="006704CA"/>
    <w:rsid w:val="0069320B"/>
    <w:rsid w:val="006B7275"/>
    <w:rsid w:val="007A72C4"/>
    <w:rsid w:val="00870586"/>
    <w:rsid w:val="008A6625"/>
    <w:rsid w:val="008E5568"/>
    <w:rsid w:val="00925A92"/>
    <w:rsid w:val="00987D09"/>
    <w:rsid w:val="00A615E8"/>
    <w:rsid w:val="00A92D54"/>
    <w:rsid w:val="00AF5445"/>
    <w:rsid w:val="00AF7A8A"/>
    <w:rsid w:val="00B97A59"/>
    <w:rsid w:val="00BC5955"/>
    <w:rsid w:val="00C26588"/>
    <w:rsid w:val="00C44524"/>
    <w:rsid w:val="00C717A2"/>
    <w:rsid w:val="00D37EF8"/>
    <w:rsid w:val="00D97452"/>
    <w:rsid w:val="00DD1FE4"/>
    <w:rsid w:val="00DF12DC"/>
    <w:rsid w:val="00EC20CB"/>
    <w:rsid w:val="00ED01B8"/>
    <w:rsid w:val="00F22611"/>
    <w:rsid w:val="00F47546"/>
    <w:rsid w:val="00F5368E"/>
    <w:rsid w:val="00F90642"/>
    <w:rsid w:val="00FC294A"/>
    <w:rsid w:val="134C37DA"/>
    <w:rsid w:val="15040A7A"/>
    <w:rsid w:val="157F2807"/>
    <w:rsid w:val="175604CC"/>
    <w:rsid w:val="217725F9"/>
    <w:rsid w:val="2AD44092"/>
    <w:rsid w:val="2C150D39"/>
    <w:rsid w:val="2D6B3D48"/>
    <w:rsid w:val="318E5CBC"/>
    <w:rsid w:val="35913823"/>
    <w:rsid w:val="39C20A18"/>
    <w:rsid w:val="3C772C94"/>
    <w:rsid w:val="3EE75538"/>
    <w:rsid w:val="41B033D2"/>
    <w:rsid w:val="42255769"/>
    <w:rsid w:val="456752CF"/>
    <w:rsid w:val="45D773CD"/>
    <w:rsid w:val="470571F6"/>
    <w:rsid w:val="59087BF4"/>
    <w:rsid w:val="5F746356"/>
    <w:rsid w:val="6ED66673"/>
    <w:rsid w:val="70CB336A"/>
    <w:rsid w:val="760D7C9D"/>
    <w:rsid w:val="76A04D03"/>
    <w:rsid w:val="779F58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5">
    <w:name w:val="东方正文"/>
    <w:basedOn w:val="1"/>
    <w:qFormat/>
    <w:uiPriority w:val="0"/>
    <w:pPr>
      <w:spacing w:line="400" w:lineRule="exact"/>
      <w:ind w:left="284" w:right="284"/>
    </w:p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905</Words>
  <Characters>5161</Characters>
  <Lines>43</Lines>
  <Paragraphs>12</Paragraphs>
  <TotalTime>0</TotalTime>
  <ScaleCrop>false</ScaleCrop>
  <LinksUpToDate>false</LinksUpToDate>
  <CharactersWithSpaces>6054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2020-04-19T06:32:00Z</dcterms:created>
  <dc:creator>微软用户</dc:creator>
  <cp:lastModifiedBy>春华秋实</cp:lastModifiedBy>
  <dcterms:modified xsi:type="dcterms:W3CDTF">2021-09-26T02:31:15Z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6DD58A0C837444D7BFD7EF9EA8719ECB</vt:lpwstr>
  </property>
</Properties>
</file>