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主管领导：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张桃芝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陪同人员：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李燕燕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王宁敏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审核时间：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2021-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8：00-16：00（12:00-13:00午餐）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审核条款：5.3 组织的岗位、职责和权限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 目标、能源指及其实现的策划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 运行的策划和控制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10.1不符合与纠正措施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组织的岗位、职责和权限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2.能源管理目标、指标及实现措施策划适宜性；能源职责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/6.2</w:t>
            </w:r>
          </w:p>
        </w:tc>
        <w:tc>
          <w:tcPr>
            <w:tcW w:w="10376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 xml:space="preserve">：领导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张桃芝</w:t>
            </w:r>
            <w:r>
              <w:rPr>
                <w:rFonts w:hint="eastAsia"/>
                <w:lang w:val="en-US" w:eastAsia="zh-CN"/>
              </w:rPr>
              <w:t>，共2人，岗位设置：经理、财务管理、会计核算、预算管理、财务分析、财务审核、成本管理、财务监督、资金运作、完成上级领导交办的其他任务</w:t>
            </w:r>
            <w:r>
              <w:rPr>
                <w:rFonts w:hint="eastAsia"/>
                <w:szCs w:val="22"/>
                <w:lang w:val="en-US" w:eastAsia="zh-CN"/>
              </w:rPr>
              <w:t>。提供财务部《工作责任制度》，含：财务部门负责人、出纳作业处理准则、会计核算基础工作规定、借款和各项费用开支标准及审批程序。</w:t>
            </w:r>
          </w:p>
          <w:p>
            <w:pPr>
              <w:ind w:firstLine="42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Cs w:val="22"/>
                <w:lang w:val="en-US" w:eastAsia="zh-CN"/>
              </w:rPr>
              <w:t>能源管理目标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1）能源采购资金满足率100%；</w:t>
            </w:r>
          </w:p>
          <w:p>
            <w:pPr>
              <w:pStyle w:val="2"/>
              <w:ind w:left="840" w:leftChars="40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2）产品采购资金满足率100%。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查阅2020年度以及2021年1-8月相关考核记录，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>基本完成目标指标，财务管理全部完成。</w:t>
            </w:r>
          </w:p>
        </w:tc>
        <w:tc>
          <w:tcPr>
            <w:tcW w:w="1213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bookmarkStart w:id="0" w:name="_GoBack"/>
            <w:bookmarkEnd w:id="0"/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运行的策划和控制、能源资金的策划与控制；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4.不符合与纠正措施。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8.1/</w:t>
            </w: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制度清单：</w:t>
            </w:r>
            <w:r>
              <w:rPr>
                <w:rFonts w:hint="eastAsia"/>
                <w:lang w:val="en-US" w:eastAsia="zh-CN"/>
              </w:rPr>
              <w:t>《DHJX/En-CX-16设计控制程序》《QZF-GC00FD-008-2019出差接待费用管理制度》《应收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账款制度》《应付账款制度》《费用报销制度》《预算管理制度》《存货盘点制度》《档案管理制度》。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近年来节能项目情况：</w:t>
            </w:r>
            <w:r>
              <w:rPr>
                <w:rFonts w:hint="eastAsia"/>
                <w:lang w:val="en-US" w:eastAsia="zh-CN"/>
              </w:rPr>
              <w:t>提供《厂区近三年节能技改方案》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862070" cy="1708785"/>
                  <wp:effectExtent l="0" t="0" r="1270" b="5715"/>
                  <wp:docPr id="2" name="图片 2" descr="df80214e8930a89b15f9ec19e9db5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f80214e8930a89b15f9ec19e9db5a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070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目前在能源方面的财务管理没有发生不符合。资金全部到位。</w:t>
            </w:r>
          </w:p>
        </w:tc>
        <w:tc>
          <w:tcPr>
            <w:tcW w:w="1213" w:type="dxa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文本框 1" o:spid="_x0000_s4097" o:spt="202" type="#_x0000_t202" style="position:absolute;left:0pt;margin-left:552.3pt;margin-top:8.1pt;height:22.55pt;width:172pt;z-index:251661312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65760" cy="325120"/>
          <wp:effectExtent l="0" t="0" r="0" b="17780"/>
          <wp:wrapTight wrapText="bothSides">
            <wp:wrapPolygon>
              <wp:start x="5850" y="0"/>
              <wp:lineTo x="0" y="3038"/>
              <wp:lineTo x="0" y="14175"/>
              <wp:lineTo x="450" y="17719"/>
              <wp:lineTo x="6750" y="21263"/>
              <wp:lineTo x="9450" y="21263"/>
              <wp:lineTo x="14400" y="21263"/>
              <wp:lineTo x="14850" y="21263"/>
              <wp:lineTo x="19800" y="16200"/>
              <wp:lineTo x="21150" y="9619"/>
              <wp:lineTo x="21150" y="6581"/>
              <wp:lineTo x="16650" y="1013"/>
              <wp:lineTo x="14400" y="0"/>
              <wp:lineTo x="585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EDD19"/>
    <w:multiLevelType w:val="singleLevel"/>
    <w:tmpl w:val="87FEDD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A6A04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A566053"/>
    <w:rsid w:val="0B861E46"/>
    <w:rsid w:val="0D4B7644"/>
    <w:rsid w:val="0DC64B5B"/>
    <w:rsid w:val="108219C2"/>
    <w:rsid w:val="10D13291"/>
    <w:rsid w:val="129F789F"/>
    <w:rsid w:val="132C1065"/>
    <w:rsid w:val="164B2EDE"/>
    <w:rsid w:val="19710579"/>
    <w:rsid w:val="25892989"/>
    <w:rsid w:val="2CA144B6"/>
    <w:rsid w:val="2ED812C3"/>
    <w:rsid w:val="3F04002E"/>
    <w:rsid w:val="44926E98"/>
    <w:rsid w:val="462B76C6"/>
    <w:rsid w:val="4C694265"/>
    <w:rsid w:val="50A72012"/>
    <w:rsid w:val="51BE0628"/>
    <w:rsid w:val="53DB69BC"/>
    <w:rsid w:val="5BFD0207"/>
    <w:rsid w:val="5CF97978"/>
    <w:rsid w:val="5E781451"/>
    <w:rsid w:val="5EA12B9A"/>
    <w:rsid w:val="679F2C77"/>
    <w:rsid w:val="693A54C3"/>
    <w:rsid w:val="6BDC3E6A"/>
    <w:rsid w:val="6DE4169C"/>
    <w:rsid w:val="6EFB611E"/>
    <w:rsid w:val="72AD40DE"/>
    <w:rsid w:val="75D471CF"/>
    <w:rsid w:val="7A380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2021-09-28T07:55:39Z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