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160" w:type="dxa"/>
            <w:vMerge w:val="restart"/>
            <w:vAlign w:val="center"/>
          </w:tcPr>
          <w:p>
            <w:pPr>
              <w:numPr>
                <w:ilvl w:val="0"/>
                <w:numId w:val="0"/>
              </w:numPr>
              <w:jc w:val="center"/>
              <w:rPr>
                <w:rFonts w:hint="eastAsia"/>
                <w:szCs w:val="22"/>
                <w:lang w:val="en-US" w:eastAsia="zh-CN"/>
              </w:rPr>
            </w:pPr>
            <w:r>
              <w:rPr>
                <w:rFonts w:hint="eastAsia"/>
                <w:szCs w:val="22"/>
                <w:lang w:val="en-US" w:eastAsia="zh-CN"/>
              </w:rPr>
              <w:t>过程与活动、</w:t>
            </w:r>
          </w:p>
          <w:p>
            <w:pPr>
              <w:numPr>
                <w:ilvl w:val="0"/>
                <w:numId w:val="0"/>
              </w:numPr>
              <w:jc w:val="center"/>
              <w:rPr>
                <w:rFonts w:hint="eastAsia"/>
                <w:szCs w:val="22"/>
                <w:lang w:val="en-US" w:eastAsia="zh-CN"/>
              </w:rPr>
            </w:pPr>
            <w:r>
              <w:rPr>
                <w:rFonts w:hint="eastAsia"/>
                <w:szCs w:val="22"/>
                <w:lang w:val="en-US" w:eastAsia="zh-CN"/>
              </w:rPr>
              <w:t>抽样计划</w:t>
            </w:r>
          </w:p>
        </w:tc>
        <w:tc>
          <w:tcPr>
            <w:tcW w:w="960" w:type="dxa"/>
            <w:vMerge w:val="restart"/>
            <w:vAlign w:val="center"/>
          </w:tcPr>
          <w:p>
            <w:pPr>
              <w:numPr>
                <w:ilvl w:val="0"/>
                <w:numId w:val="0"/>
              </w:numPr>
              <w:jc w:val="center"/>
              <w:rPr>
                <w:rFonts w:hint="eastAsia"/>
                <w:szCs w:val="22"/>
                <w:lang w:val="en-US" w:eastAsia="zh-CN"/>
              </w:rPr>
            </w:pPr>
            <w:r>
              <w:rPr>
                <w:rFonts w:hint="eastAsia"/>
                <w:szCs w:val="22"/>
                <w:lang w:val="en-US" w:eastAsia="zh-CN"/>
              </w:rPr>
              <w:t>涉及</w:t>
            </w:r>
          </w:p>
          <w:p>
            <w:pPr>
              <w:numPr>
                <w:ilvl w:val="0"/>
                <w:numId w:val="0"/>
              </w:numPr>
              <w:jc w:val="center"/>
              <w:rPr>
                <w:rFonts w:hint="eastAsia"/>
                <w:szCs w:val="22"/>
                <w:lang w:val="en-US" w:eastAsia="zh-CN"/>
              </w:rPr>
            </w:pPr>
            <w:r>
              <w:rPr>
                <w:rFonts w:hint="eastAsia"/>
                <w:szCs w:val="22"/>
                <w:lang w:val="en-US" w:eastAsia="zh-CN"/>
              </w:rPr>
              <w:t>条款</w:t>
            </w:r>
          </w:p>
        </w:tc>
        <w:tc>
          <w:tcPr>
            <w:tcW w:w="10376" w:type="dxa"/>
            <w:vAlign w:val="center"/>
          </w:tcPr>
          <w:p>
            <w:pPr>
              <w:numPr>
                <w:ilvl w:val="0"/>
                <w:numId w:val="0"/>
              </w:numPr>
              <w:jc w:val="both"/>
              <w:rPr>
                <w:rFonts w:hint="eastAsia"/>
                <w:szCs w:val="22"/>
                <w:lang w:val="en-US" w:eastAsia="zh-CN"/>
              </w:rPr>
            </w:pPr>
            <w:r>
              <w:rPr>
                <w:rFonts w:hint="eastAsia"/>
                <w:szCs w:val="22"/>
                <w:lang w:val="en-US" w:eastAsia="zh-CN"/>
              </w:rPr>
              <w:t>受审核部门：人力资源部    主管领导： 杨蓓珊         陪同人员：李燕燕</w:t>
            </w:r>
          </w:p>
        </w:tc>
        <w:tc>
          <w:tcPr>
            <w:tcW w:w="1213" w:type="dxa"/>
            <w:vMerge w:val="restart"/>
            <w:vAlign w:val="center"/>
          </w:tcPr>
          <w:p>
            <w:pPr>
              <w:numPr>
                <w:ilvl w:val="0"/>
                <w:numId w:val="0"/>
              </w:numPr>
              <w:jc w:val="center"/>
              <w:rPr>
                <w:rFonts w:hint="eastAsia"/>
                <w:szCs w:val="22"/>
                <w:lang w:val="en-US" w:eastAsia="zh-CN"/>
              </w:rPr>
            </w:pPr>
            <w:r>
              <w:rPr>
                <w:rFonts w:hint="eastAsia"/>
                <w:szCs w:val="22"/>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numPr>
                <w:ilvl w:val="0"/>
                <w:numId w:val="0"/>
              </w:numPr>
              <w:jc w:val="center"/>
              <w:rPr>
                <w:rFonts w:hint="eastAsia"/>
                <w:szCs w:val="22"/>
                <w:lang w:val="en-US" w:eastAsia="zh-CN"/>
              </w:rPr>
            </w:pPr>
          </w:p>
        </w:tc>
        <w:tc>
          <w:tcPr>
            <w:tcW w:w="960" w:type="dxa"/>
            <w:vMerge w:val="continue"/>
            <w:vAlign w:val="center"/>
          </w:tcPr>
          <w:p>
            <w:pPr>
              <w:numPr>
                <w:ilvl w:val="0"/>
                <w:numId w:val="0"/>
              </w:numPr>
              <w:jc w:val="center"/>
              <w:rPr>
                <w:rFonts w:hint="eastAsia"/>
                <w:szCs w:val="22"/>
                <w:lang w:val="en-US" w:eastAsia="zh-CN"/>
              </w:rPr>
            </w:pPr>
          </w:p>
        </w:tc>
        <w:tc>
          <w:tcPr>
            <w:tcW w:w="10376" w:type="dxa"/>
            <w:vAlign w:val="center"/>
          </w:tcPr>
          <w:p>
            <w:pPr>
              <w:numPr>
                <w:ilvl w:val="0"/>
                <w:numId w:val="0"/>
              </w:numPr>
              <w:jc w:val="both"/>
              <w:rPr>
                <w:rFonts w:hint="eastAsia"/>
                <w:szCs w:val="22"/>
                <w:lang w:val="en-US" w:eastAsia="zh-CN"/>
              </w:rPr>
            </w:pPr>
            <w:r>
              <w:rPr>
                <w:rFonts w:hint="eastAsia"/>
                <w:szCs w:val="22"/>
                <w:lang w:val="en-US" w:eastAsia="zh-CN"/>
              </w:rPr>
              <w:t>审核员：王宁敏       审核时间：2021-9-28  8：00-17：00（12:00-13:00午餐）</w:t>
            </w:r>
          </w:p>
        </w:tc>
        <w:tc>
          <w:tcPr>
            <w:tcW w:w="1213" w:type="dxa"/>
            <w:vMerge w:val="continue"/>
          </w:tcPr>
          <w:p>
            <w:pPr>
              <w:numPr>
                <w:ilvl w:val="0"/>
                <w:numId w:val="0"/>
              </w:numPr>
              <w:jc w:val="center"/>
              <w:rPr>
                <w:rFonts w:hint="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numPr>
                <w:ilvl w:val="0"/>
                <w:numId w:val="0"/>
              </w:numPr>
              <w:rPr>
                <w:rFonts w:hint="eastAsia"/>
                <w:szCs w:val="22"/>
                <w:lang w:val="en-US" w:eastAsia="zh-CN"/>
              </w:rPr>
            </w:pPr>
          </w:p>
        </w:tc>
        <w:tc>
          <w:tcPr>
            <w:tcW w:w="960" w:type="dxa"/>
            <w:vMerge w:val="continue"/>
            <w:vAlign w:val="center"/>
          </w:tcPr>
          <w:p>
            <w:pPr>
              <w:numPr>
                <w:ilvl w:val="0"/>
                <w:numId w:val="0"/>
              </w:numPr>
              <w:rPr>
                <w:rFonts w:hint="eastAsia"/>
                <w:szCs w:val="22"/>
                <w:lang w:val="en-US" w:eastAsia="zh-CN"/>
              </w:rPr>
            </w:pPr>
          </w:p>
        </w:tc>
        <w:tc>
          <w:tcPr>
            <w:tcW w:w="10376" w:type="dxa"/>
            <w:vAlign w:val="center"/>
          </w:tcPr>
          <w:p>
            <w:pPr>
              <w:numPr>
                <w:ilvl w:val="0"/>
                <w:numId w:val="0"/>
              </w:numPr>
              <w:rPr>
                <w:rFonts w:hint="eastAsia"/>
                <w:szCs w:val="22"/>
                <w:lang w:val="en-US" w:eastAsia="zh-CN"/>
              </w:rPr>
            </w:pPr>
            <w:r>
              <w:rPr>
                <w:rFonts w:hint="eastAsia"/>
                <w:szCs w:val="22"/>
                <w:lang w:val="en-US" w:eastAsia="zh-CN"/>
              </w:rPr>
              <w:t>审核条款：5.3 组织的岗位、职责和权限、6.2 目标、能源指及其实现的策划、7.2能力、7.3意识、7.4沟通交流、10.1 不符合与纠正措施、10.2 持续改进。</w:t>
            </w:r>
          </w:p>
        </w:tc>
        <w:tc>
          <w:tcPr>
            <w:tcW w:w="12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trPr>
        <w:tc>
          <w:tcPr>
            <w:tcW w:w="2160" w:type="dxa"/>
          </w:tcPr>
          <w:p>
            <w:pPr>
              <w:rPr>
                <w:rFonts w:hint="eastAsia"/>
              </w:rPr>
            </w:pPr>
            <w:r>
              <w:rPr>
                <w:rFonts w:hint="eastAsia"/>
              </w:rPr>
              <w:t>1.</w:t>
            </w:r>
            <w:r>
              <w:rPr>
                <w:rFonts w:hint="eastAsia"/>
                <w:lang w:val="en-US" w:eastAsia="zh-CN"/>
              </w:rPr>
              <w:t>能源</w:t>
            </w:r>
            <w:r>
              <w:rPr>
                <w:rFonts w:hint="eastAsia"/>
              </w:rPr>
              <w:t>职责、</w:t>
            </w:r>
            <w:r>
              <w:rPr>
                <w:rFonts w:hint="eastAsia"/>
                <w:lang w:val="en-US" w:eastAsia="zh-CN"/>
              </w:rPr>
              <w:t>能源</w:t>
            </w:r>
            <w:r>
              <w:rPr>
                <w:rFonts w:hint="eastAsia"/>
              </w:rPr>
              <w:t>管理目标及实现措施策划适宜性，履行职责和目标实现情况；</w:t>
            </w:r>
          </w:p>
          <w:p>
            <w:pPr>
              <w:pStyle w:val="2"/>
            </w:pPr>
          </w:p>
        </w:tc>
        <w:tc>
          <w:tcPr>
            <w:tcW w:w="960" w:type="dxa"/>
          </w:tcPr>
          <w:p>
            <w:pPr>
              <w:rPr>
                <w:rFonts w:hint="eastAsia"/>
              </w:rPr>
            </w:pPr>
            <w:r>
              <w:rPr>
                <w:rFonts w:hint="eastAsia"/>
              </w:rPr>
              <w:t>5.3</w:t>
            </w:r>
            <w:r>
              <w:rPr>
                <w:rFonts w:hint="eastAsia"/>
                <w:lang w:val="en-US" w:eastAsia="zh-CN"/>
              </w:rPr>
              <w:t>/</w:t>
            </w:r>
            <w:r>
              <w:rPr>
                <w:rFonts w:hint="eastAsia"/>
              </w:rPr>
              <w:t>6.2</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pPr>
          </w:p>
        </w:tc>
        <w:tc>
          <w:tcPr>
            <w:tcW w:w="10376" w:type="dxa"/>
          </w:tcPr>
          <w:p>
            <w:pPr>
              <w:ind w:firstLine="420" w:firstLineChars="200"/>
              <w:rPr>
                <w:rFonts w:hint="eastAsia"/>
                <w:lang w:val="en-US" w:eastAsia="zh-CN"/>
              </w:rPr>
            </w:pPr>
            <w:r>
              <w:rPr>
                <w:rFonts w:hint="eastAsia"/>
                <w:lang w:val="en-US" w:eastAsia="zh-CN"/>
              </w:rPr>
              <w:t>1.人力资源部：领导：奚彩霞 ，共2人；岗位设置：经理岗、招聘岗、劳资岗、教育培训岗、员工关系岗。</w:t>
            </w:r>
          </w:p>
          <w:p>
            <w:pPr>
              <w:numPr>
                <w:ilvl w:val="0"/>
                <w:numId w:val="0"/>
              </w:numPr>
              <w:ind w:left="420" w:leftChars="0"/>
              <w:rPr>
                <w:rFonts w:hint="eastAsia"/>
                <w:lang w:val="en-US" w:eastAsia="zh-CN"/>
              </w:rPr>
            </w:pPr>
            <w:r>
              <w:rPr>
                <w:rFonts w:hint="eastAsia"/>
                <w:lang w:val="en-US" w:eastAsia="zh-CN"/>
              </w:rPr>
              <w:t>本部门的能源职责：人力资源规划。人事招聘与配置管理。员工培训与发展管理。绩效管理。薪酬福利管</w:t>
            </w:r>
          </w:p>
          <w:p>
            <w:pPr>
              <w:numPr>
                <w:ilvl w:val="0"/>
                <w:numId w:val="0"/>
              </w:numPr>
              <w:rPr>
                <w:rFonts w:hint="default"/>
                <w:lang w:val="en-US" w:eastAsia="zh-CN"/>
              </w:rPr>
            </w:pPr>
            <w:r>
              <w:rPr>
                <w:rFonts w:hint="eastAsia"/>
                <w:lang w:val="en-US" w:eastAsia="zh-CN"/>
              </w:rPr>
              <w:t>理。劳动关系管理。协助文化建设。事业部的人事工作。完成上级领导交办的其他任务。其他在《能源手册》中5.3条款予以描述。</w:t>
            </w:r>
          </w:p>
          <w:p>
            <w:pPr>
              <w:pStyle w:val="2"/>
              <w:rPr>
                <w:rFonts w:hint="eastAsia"/>
                <w:lang w:val="en-US" w:eastAsia="zh-CN"/>
              </w:rPr>
            </w:pPr>
            <w:r>
              <w:rPr>
                <w:rFonts w:hint="eastAsia"/>
                <w:lang w:val="en-US" w:eastAsia="zh-CN"/>
              </w:rPr>
              <w:t>2.提供人力资源部能源管理目标</w:t>
            </w:r>
          </w:p>
          <w:p>
            <w:pPr>
              <w:ind w:firstLine="420" w:firstLineChars="200"/>
              <w:rPr>
                <w:rFonts w:hint="eastAsia"/>
                <w:lang w:val="en-US" w:eastAsia="zh-CN"/>
              </w:rPr>
            </w:pPr>
            <w:r>
              <w:rPr>
                <w:rFonts w:hint="eastAsia"/>
                <w:lang w:val="en-US" w:eastAsia="zh-CN"/>
              </w:rPr>
              <w:t xml:space="preserve">    保证公司二个目标指标的完成，</w:t>
            </w:r>
          </w:p>
          <w:p>
            <w:pPr>
              <w:pStyle w:val="2"/>
              <w:ind w:left="840" w:leftChars="400" w:firstLine="0" w:firstLineChars="0"/>
              <w:rPr>
                <w:rFonts w:hint="eastAsia"/>
                <w:lang w:val="en-US" w:eastAsia="zh-CN"/>
              </w:rPr>
            </w:pPr>
            <w:r>
              <w:rPr>
                <w:rFonts w:hint="eastAsia"/>
                <w:lang w:val="en-US" w:eastAsia="zh-CN"/>
              </w:rPr>
              <w:t>1)能源标准培训率100%；2)节能知识培训率100%；3)内审员培训合格率100%;4）文件受控率100%。</w:t>
            </w:r>
          </w:p>
          <w:p>
            <w:pPr>
              <w:pStyle w:val="2"/>
              <w:rPr>
                <w:rFonts w:hint="default"/>
                <w:lang w:val="en-US" w:eastAsia="zh-CN"/>
              </w:rPr>
            </w:pPr>
            <w:r>
              <w:rPr>
                <w:rFonts w:hint="eastAsia"/>
                <w:lang w:val="en-US" w:eastAsia="zh-CN"/>
              </w:rPr>
              <w:t xml:space="preserve">   查阅相关记录，全部完成。</w:t>
            </w:r>
          </w:p>
          <w:p>
            <w:pPr>
              <w:pStyle w:val="2"/>
              <w:numPr>
                <w:ilvl w:val="0"/>
                <w:numId w:val="0"/>
              </w:numPr>
              <w:ind w:leftChars="200"/>
              <w:rPr>
                <w:rFonts w:hint="eastAsia"/>
                <w:lang w:val="en-US" w:eastAsia="zh-CN"/>
              </w:rPr>
            </w:pPr>
            <w:r>
              <w:rPr>
                <w:rFonts w:hint="eastAsia"/>
                <w:lang w:val="en-US" w:eastAsia="zh-CN"/>
              </w:rPr>
              <w:t>3.查阅公司对各部门的考核，</w:t>
            </w:r>
          </w:p>
          <w:p>
            <w:pPr>
              <w:pStyle w:val="2"/>
              <w:numPr>
                <w:ilvl w:val="0"/>
                <w:numId w:val="0"/>
              </w:numPr>
              <w:ind w:leftChars="200" w:firstLine="420" w:firstLineChars="200"/>
              <w:rPr>
                <w:rFonts w:hint="default"/>
                <w:lang w:val="en-US" w:eastAsia="zh-CN"/>
              </w:rPr>
            </w:pPr>
            <w:r>
              <w:rPr>
                <w:rFonts w:hint="default"/>
                <w:lang w:val="en-US" w:eastAsia="zh-CN"/>
              </w:rPr>
              <w:t>2020年度</w:t>
            </w:r>
            <w:r>
              <w:rPr>
                <w:rFonts w:hint="eastAsia"/>
                <w:lang w:val="en-US" w:eastAsia="zh-CN"/>
              </w:rPr>
              <w:t>及2021年1-8月</w:t>
            </w:r>
            <w:r>
              <w:rPr>
                <w:rFonts w:hint="default"/>
                <w:lang w:val="en-US" w:eastAsia="zh-CN"/>
              </w:rPr>
              <w:t>管理目标、指标分解及完成情况</w:t>
            </w:r>
          </w:p>
          <w:tbl>
            <w:tblPr>
              <w:tblStyle w:val="8"/>
              <w:tblW w:w="7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
              <w:gridCol w:w="610"/>
              <w:gridCol w:w="463"/>
              <w:gridCol w:w="2188"/>
              <w:gridCol w:w="1869"/>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6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b/>
                      <w:bCs/>
                      <w:color w:val="000000"/>
                      <w:sz w:val="18"/>
                      <w:szCs w:val="18"/>
                    </w:rPr>
                  </w:pPr>
                  <w:r>
                    <w:rPr>
                      <w:rFonts w:hint="eastAsia"/>
                      <w:b/>
                      <w:bCs/>
                      <w:color w:val="000000"/>
                      <w:sz w:val="18"/>
                      <w:szCs w:val="18"/>
                    </w:rPr>
                    <w:t>序号</w:t>
                  </w:r>
                </w:p>
              </w:tc>
              <w:tc>
                <w:tcPr>
                  <w:tcW w:w="10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b/>
                      <w:bCs/>
                      <w:color w:val="000000"/>
                      <w:sz w:val="18"/>
                      <w:szCs w:val="18"/>
                    </w:rPr>
                  </w:pPr>
                  <w:r>
                    <w:rPr>
                      <w:rFonts w:hint="eastAsia"/>
                      <w:b/>
                      <w:bCs/>
                      <w:color w:val="000000"/>
                      <w:sz w:val="18"/>
                      <w:szCs w:val="18"/>
                    </w:rPr>
                    <w:t>层 级</w:t>
                  </w:r>
                </w:p>
              </w:tc>
              <w:tc>
                <w:tcPr>
                  <w:tcW w:w="218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both"/>
                    <w:textAlignment w:val="auto"/>
                    <w:rPr>
                      <w:rFonts w:hint="default"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目标、指标</w:t>
                  </w:r>
                </w:p>
              </w:tc>
              <w:tc>
                <w:tcPr>
                  <w:tcW w:w="186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default"/>
                      <w:b/>
                      <w:bCs/>
                      <w:color w:val="000000"/>
                      <w:sz w:val="18"/>
                      <w:szCs w:val="18"/>
                      <w:lang w:val="en-US" w:eastAsia="zh-CN"/>
                    </w:rPr>
                  </w:pPr>
                  <w:r>
                    <w:rPr>
                      <w:rFonts w:hint="eastAsia"/>
                      <w:b/>
                      <w:bCs/>
                      <w:color w:val="000000"/>
                      <w:sz w:val="18"/>
                      <w:szCs w:val="18"/>
                      <w:lang w:val="en-US" w:eastAsia="zh-CN"/>
                    </w:rPr>
                    <w:t>2020年完成情况</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b/>
                      <w:bCs/>
                      <w:color w:val="000000"/>
                      <w:sz w:val="18"/>
                      <w:szCs w:val="18"/>
                      <w:lang w:val="en-US" w:eastAsia="zh-CN"/>
                    </w:rPr>
                  </w:pPr>
                  <w:r>
                    <w:rPr>
                      <w:rFonts w:hint="eastAsia"/>
                      <w:b/>
                      <w:bCs/>
                      <w:color w:val="000000"/>
                      <w:sz w:val="18"/>
                      <w:szCs w:val="18"/>
                      <w:lang w:val="en-US" w:eastAsia="zh-CN"/>
                    </w:rPr>
                    <w:t>2021年1-8月份完成情况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6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b/>
                      <w:bCs/>
                      <w:color w:val="000000"/>
                      <w:sz w:val="18"/>
                      <w:szCs w:val="18"/>
                    </w:rPr>
                  </w:pPr>
                </w:p>
              </w:tc>
              <w:tc>
                <w:tcPr>
                  <w:tcW w:w="10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default" w:eastAsia="宋体"/>
                      <w:b/>
                      <w:bCs/>
                      <w:color w:val="000000"/>
                      <w:sz w:val="18"/>
                      <w:szCs w:val="18"/>
                      <w:lang w:val="en-US" w:eastAsia="zh-CN"/>
                    </w:rPr>
                  </w:pPr>
                  <w:r>
                    <w:rPr>
                      <w:rFonts w:hint="eastAsia"/>
                      <w:b/>
                      <w:bCs/>
                      <w:color w:val="000000"/>
                      <w:sz w:val="18"/>
                      <w:szCs w:val="18"/>
                      <w:lang w:val="en-US" w:eastAsia="zh-CN"/>
                    </w:rPr>
                    <w:t>公司级</w:t>
                  </w:r>
                </w:p>
              </w:tc>
              <w:tc>
                <w:tcPr>
                  <w:tcW w:w="21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机械事业部≦8.26kgce/万元。模具事业部≦50.04kgce/万元。</w:t>
                  </w:r>
                </w:p>
              </w:tc>
              <w:tc>
                <w:tcPr>
                  <w:tcW w:w="18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10.69</w:t>
                  </w:r>
                  <w:r>
                    <w:rPr>
                      <w:rFonts w:hint="eastAsia" w:ascii="宋体" w:hAnsi="宋体" w:cs="宋体"/>
                      <w:i w:val="0"/>
                      <w:iCs w:val="0"/>
                      <w:color w:val="auto"/>
                      <w:kern w:val="0"/>
                      <w:sz w:val="18"/>
                      <w:szCs w:val="18"/>
                      <w:u w:val="none"/>
                      <w:lang w:val="en-US" w:eastAsia="zh-CN" w:bidi="ar"/>
                    </w:rPr>
                    <w:t>kgce/万元</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21.89kgce/万元</w:t>
                  </w:r>
                </w:p>
              </w:tc>
              <w:tc>
                <w:tcPr>
                  <w:tcW w:w="1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jc w:val="left"/>
                    <w:textAlignment w:val="auto"/>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 xml:space="preserve"> </w:t>
                  </w:r>
                  <w:r>
                    <w:rPr>
                      <w:rFonts w:hint="eastAsia" w:ascii="宋体" w:hAnsi="宋体" w:cs="宋体"/>
                      <w:color w:val="000000"/>
                      <w:kern w:val="0"/>
                      <w:sz w:val="18"/>
                      <w:szCs w:val="18"/>
                      <w:lang w:val="en-US" w:eastAsia="zh-CN"/>
                    </w:rPr>
                    <w:t>12.28</w:t>
                  </w:r>
                  <w:r>
                    <w:rPr>
                      <w:rFonts w:hint="eastAsia" w:ascii="宋体" w:hAnsi="宋体" w:cs="宋体"/>
                      <w:i w:val="0"/>
                      <w:iCs w:val="0"/>
                      <w:color w:val="auto"/>
                      <w:kern w:val="0"/>
                      <w:sz w:val="18"/>
                      <w:szCs w:val="18"/>
                      <w:u w:val="none"/>
                      <w:lang w:val="en-US" w:eastAsia="zh-CN" w:bidi="ar"/>
                    </w:rPr>
                    <w:t>kgce/万元  63.89kgce/万元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6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w:t>
                  </w:r>
                </w:p>
              </w:tc>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机械</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val="en-US" w:eastAsia="zh-CN"/>
                    </w:rPr>
                    <w:t>事业部</w:t>
                  </w:r>
                </w:p>
              </w:tc>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eastAsia" w:ascii="仿宋" w:hAnsi="仿宋" w:eastAsia="仿宋" w:cs="仿宋"/>
                      <w:color w:val="000000"/>
                      <w:sz w:val="18"/>
                      <w:szCs w:val="18"/>
                    </w:rPr>
                  </w:pPr>
                  <w:r>
                    <w:rPr>
                      <w:rFonts w:hint="eastAsia" w:ascii="仿宋" w:hAnsi="仿宋" w:eastAsia="仿宋" w:cs="仿宋"/>
                      <w:color w:val="000000"/>
                      <w:sz w:val="18"/>
                      <w:szCs w:val="18"/>
                    </w:rPr>
                    <w:t>目标</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eastAsia" w:ascii="仿宋" w:hAnsi="仿宋" w:eastAsia="仿宋" w:cs="仿宋"/>
                      <w:color w:val="000000"/>
                      <w:sz w:val="18"/>
                      <w:szCs w:val="18"/>
                    </w:rPr>
                  </w:pPr>
                  <w:r>
                    <w:rPr>
                      <w:rFonts w:hint="eastAsia" w:ascii="仿宋" w:hAnsi="仿宋" w:eastAsia="仿宋" w:cs="仿宋"/>
                      <w:color w:val="000000"/>
                      <w:sz w:val="18"/>
                      <w:szCs w:val="18"/>
                    </w:rPr>
                    <w:t>指标</w:t>
                  </w:r>
                </w:p>
              </w:tc>
              <w:tc>
                <w:tcPr>
                  <w:tcW w:w="21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机械事业部≦8.26kgce/万元。</w:t>
                  </w:r>
                </w:p>
              </w:tc>
              <w:tc>
                <w:tcPr>
                  <w:tcW w:w="18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w:t>
                  </w:r>
                  <w:r>
                    <w:rPr>
                      <w:rFonts w:hint="eastAsia" w:ascii="宋体" w:hAnsi="宋体" w:cs="宋体"/>
                      <w:i w:val="0"/>
                      <w:iCs w:val="0"/>
                      <w:color w:val="000000"/>
                      <w:kern w:val="0"/>
                      <w:sz w:val="18"/>
                      <w:szCs w:val="18"/>
                      <w:u w:val="none"/>
                      <w:lang w:val="en-US" w:eastAsia="zh-CN" w:bidi="ar"/>
                    </w:rPr>
                    <w:t>10.69</w:t>
                  </w:r>
                  <w:r>
                    <w:rPr>
                      <w:rFonts w:hint="eastAsia" w:ascii="宋体" w:hAnsi="宋体" w:cs="宋体"/>
                      <w:i w:val="0"/>
                      <w:iCs w:val="0"/>
                      <w:color w:val="auto"/>
                      <w:kern w:val="0"/>
                      <w:sz w:val="18"/>
                      <w:szCs w:val="18"/>
                      <w:u w:val="none"/>
                      <w:lang w:val="en-US" w:eastAsia="zh-CN" w:bidi="ar"/>
                    </w:rPr>
                    <w:t>kgce/万元</w:t>
                  </w:r>
                </w:p>
              </w:tc>
              <w:tc>
                <w:tcPr>
                  <w:tcW w:w="1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12.28</w:t>
                  </w:r>
                  <w:r>
                    <w:rPr>
                      <w:rFonts w:hint="eastAsia" w:ascii="宋体" w:hAnsi="宋体" w:cs="宋体"/>
                      <w:i w:val="0"/>
                      <w:iCs w:val="0"/>
                      <w:color w:val="auto"/>
                      <w:kern w:val="0"/>
                      <w:sz w:val="18"/>
                      <w:szCs w:val="18"/>
                      <w:u w:val="none"/>
                      <w:lang w:val="en-US" w:eastAsia="zh-CN" w:bidi="ar"/>
                    </w:rPr>
                    <w:t>kgce/万元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6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w:t>
                  </w:r>
                </w:p>
              </w:tc>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模具</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事业部</w:t>
                  </w:r>
                </w:p>
              </w:tc>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eastAsia" w:ascii="仿宋" w:hAnsi="仿宋" w:eastAsia="仿宋" w:cs="仿宋"/>
                      <w:color w:val="000000"/>
                      <w:sz w:val="18"/>
                      <w:szCs w:val="18"/>
                    </w:rPr>
                  </w:pPr>
                  <w:r>
                    <w:rPr>
                      <w:rFonts w:hint="eastAsia" w:ascii="仿宋" w:hAnsi="仿宋" w:eastAsia="仿宋" w:cs="仿宋"/>
                      <w:color w:val="000000"/>
                      <w:sz w:val="18"/>
                      <w:szCs w:val="18"/>
                    </w:rPr>
                    <w:t>目标</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eastAsia" w:ascii="仿宋" w:hAnsi="仿宋" w:eastAsia="仿宋" w:cs="仿宋"/>
                      <w:color w:val="000000"/>
                      <w:sz w:val="18"/>
                      <w:szCs w:val="18"/>
                    </w:rPr>
                  </w:pPr>
                  <w:r>
                    <w:rPr>
                      <w:rFonts w:hint="eastAsia" w:ascii="仿宋" w:hAnsi="仿宋" w:eastAsia="仿宋" w:cs="仿宋"/>
                      <w:color w:val="000000"/>
                      <w:sz w:val="18"/>
                      <w:szCs w:val="18"/>
                    </w:rPr>
                    <w:t>指标</w:t>
                  </w:r>
                </w:p>
              </w:tc>
              <w:tc>
                <w:tcPr>
                  <w:tcW w:w="21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模具事业部≦50.04kgce/万元。</w:t>
                  </w:r>
                </w:p>
              </w:tc>
              <w:tc>
                <w:tcPr>
                  <w:tcW w:w="18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eastAsia" w:ascii="宋体" w:hAnsi="宋体" w:cs="宋体"/>
                      <w:color w:val="000000"/>
                      <w:kern w:val="0"/>
                      <w:sz w:val="18"/>
                      <w:szCs w:val="18"/>
                      <w:lang w:val="en-US" w:eastAsia="zh-CN"/>
                    </w:rPr>
                  </w:pPr>
                  <w:r>
                    <w:rPr>
                      <w:rFonts w:hint="eastAsia" w:ascii="宋体" w:hAnsi="宋体" w:cs="宋体"/>
                      <w:i w:val="0"/>
                      <w:iCs w:val="0"/>
                      <w:color w:val="auto"/>
                      <w:kern w:val="0"/>
                      <w:sz w:val="18"/>
                      <w:szCs w:val="18"/>
                      <w:u w:val="none"/>
                      <w:lang w:val="en-US" w:eastAsia="zh-CN" w:bidi="ar"/>
                    </w:rPr>
                    <w:t>21.89kgce/万元</w:t>
                  </w:r>
                </w:p>
              </w:tc>
              <w:tc>
                <w:tcPr>
                  <w:tcW w:w="1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63.89kgce/万元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6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w:t>
                  </w:r>
                </w:p>
              </w:tc>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人力</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资源部</w:t>
                  </w:r>
                </w:p>
              </w:tc>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eastAsia" w:ascii="仿宋" w:hAnsi="仿宋" w:eastAsia="仿宋" w:cs="仿宋"/>
                      <w:color w:val="000000"/>
                      <w:sz w:val="18"/>
                      <w:szCs w:val="18"/>
                    </w:rPr>
                  </w:pPr>
                  <w:r>
                    <w:rPr>
                      <w:rFonts w:hint="eastAsia" w:ascii="仿宋" w:hAnsi="仿宋" w:eastAsia="仿宋" w:cs="仿宋"/>
                      <w:color w:val="000000"/>
                      <w:sz w:val="18"/>
                      <w:szCs w:val="18"/>
                    </w:rPr>
                    <w:t>目标</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eastAsia" w:ascii="仿宋" w:hAnsi="仿宋" w:eastAsia="仿宋" w:cs="仿宋"/>
                      <w:color w:val="000000"/>
                      <w:sz w:val="18"/>
                      <w:szCs w:val="18"/>
                    </w:rPr>
                  </w:pPr>
                  <w:r>
                    <w:rPr>
                      <w:rFonts w:hint="eastAsia" w:ascii="仿宋" w:hAnsi="仿宋" w:eastAsia="仿宋" w:cs="仿宋"/>
                      <w:color w:val="000000"/>
                      <w:sz w:val="18"/>
                      <w:szCs w:val="18"/>
                    </w:rPr>
                    <w:t>指标</w:t>
                  </w:r>
                </w:p>
              </w:tc>
              <w:tc>
                <w:tcPr>
                  <w:tcW w:w="2188" w:type="dxa"/>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firstLine="0" w:firstLineChars="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能源标准培训率100%；</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firstLine="0" w:firstLineChars="0"/>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节能知识培训率100%；</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firstLine="0" w:firstLineChars="0"/>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内审员培训合格率100%</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firstLine="0" w:firstLineChars="0"/>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文件受控率100%</w:t>
                  </w:r>
                </w:p>
              </w:tc>
              <w:tc>
                <w:tcPr>
                  <w:tcW w:w="186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1、能源标准培训率100%；</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2、节能知识培训率100%；</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3、内审员培训合格率100%</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4、文件受控率100%</w:t>
                  </w:r>
                </w:p>
              </w:tc>
              <w:tc>
                <w:tcPr>
                  <w:tcW w:w="170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1、能源标准培训率100%；</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2、节能知识培训率100%；</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3、内审员培训合格率100%</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rPr>
                    <w:t>4、文件受控率100%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w:t>
                  </w:r>
                </w:p>
              </w:tc>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采购部</w:t>
                  </w:r>
                </w:p>
              </w:tc>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eastAsia" w:ascii="仿宋" w:hAnsi="仿宋" w:eastAsia="仿宋" w:cs="仿宋"/>
                      <w:color w:val="000000"/>
                      <w:sz w:val="18"/>
                      <w:szCs w:val="18"/>
                    </w:rPr>
                  </w:pPr>
                  <w:r>
                    <w:rPr>
                      <w:rFonts w:hint="eastAsia" w:ascii="仿宋" w:hAnsi="仿宋" w:eastAsia="仿宋" w:cs="仿宋"/>
                      <w:color w:val="000000"/>
                      <w:sz w:val="18"/>
                      <w:szCs w:val="18"/>
                    </w:rPr>
                    <w:t>目标</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eastAsia" w:ascii="仿宋" w:hAnsi="仿宋" w:eastAsia="仿宋" w:cs="仿宋"/>
                      <w:color w:val="000000"/>
                      <w:sz w:val="18"/>
                      <w:szCs w:val="18"/>
                    </w:rPr>
                  </w:pPr>
                  <w:r>
                    <w:rPr>
                      <w:rFonts w:hint="eastAsia" w:ascii="仿宋" w:hAnsi="仿宋" w:eastAsia="仿宋" w:cs="仿宋"/>
                      <w:color w:val="000000"/>
                      <w:sz w:val="18"/>
                      <w:szCs w:val="18"/>
                    </w:rPr>
                    <w:t>指标</w:t>
                  </w:r>
                </w:p>
              </w:tc>
              <w:tc>
                <w:tcPr>
                  <w:tcW w:w="2188"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0" w:lineRule="atLeast"/>
                    <w:ind w:left="0" w:firstLine="0" w:firstLineChars="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产品采购合格率100%</w:t>
                  </w:r>
                </w:p>
                <w:p>
                  <w:pPr>
                    <w:keepNext w:val="0"/>
                    <w:keepLines w:val="0"/>
                    <w:pageBreakBefore w:val="0"/>
                    <w:widowControl w:val="0"/>
                    <w:numPr>
                      <w:ilvl w:val="0"/>
                      <w:numId w:val="2"/>
                    </w:numPr>
                    <w:kinsoku/>
                    <w:wordWrap/>
                    <w:overflowPunct/>
                    <w:topLinePunct w:val="0"/>
                    <w:autoSpaceDE/>
                    <w:autoSpaceDN/>
                    <w:bidi w:val="0"/>
                    <w:adjustRightInd/>
                    <w:snapToGrid/>
                    <w:spacing w:line="0" w:lineRule="atLeast"/>
                    <w:ind w:left="0" w:firstLine="0" w:firstLineChars="0"/>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能源采购及时率100%</w:t>
                  </w:r>
                </w:p>
              </w:tc>
              <w:tc>
                <w:tcPr>
                  <w:tcW w:w="186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1、产品采购合格率100%</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2、能源采购及时率100%</w:t>
                  </w:r>
                </w:p>
              </w:tc>
              <w:tc>
                <w:tcPr>
                  <w:tcW w:w="170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1、产品采购合格率100%</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rPr>
                    <w:t>2、能源采购及时率100%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6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4</w:t>
                  </w:r>
                </w:p>
              </w:tc>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设计部</w:t>
                  </w:r>
                </w:p>
              </w:tc>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eastAsia" w:ascii="仿宋" w:hAnsi="仿宋" w:eastAsia="仿宋" w:cs="仿宋"/>
                      <w:color w:val="000000"/>
                      <w:sz w:val="18"/>
                      <w:szCs w:val="18"/>
                    </w:rPr>
                  </w:pPr>
                  <w:r>
                    <w:rPr>
                      <w:rFonts w:hint="eastAsia" w:ascii="仿宋" w:hAnsi="仿宋" w:eastAsia="仿宋" w:cs="仿宋"/>
                      <w:color w:val="000000"/>
                      <w:sz w:val="18"/>
                      <w:szCs w:val="18"/>
                    </w:rPr>
                    <w:t>目标</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eastAsia" w:ascii="仿宋" w:hAnsi="仿宋" w:eastAsia="仿宋" w:cs="仿宋"/>
                      <w:color w:val="000000"/>
                      <w:sz w:val="18"/>
                      <w:szCs w:val="18"/>
                    </w:rPr>
                  </w:pPr>
                  <w:r>
                    <w:rPr>
                      <w:rFonts w:hint="eastAsia" w:ascii="仿宋" w:hAnsi="仿宋" w:eastAsia="仿宋" w:cs="仿宋"/>
                      <w:color w:val="000000"/>
                      <w:sz w:val="18"/>
                      <w:szCs w:val="18"/>
                    </w:rPr>
                    <w:t>指标</w:t>
                  </w:r>
                </w:p>
              </w:tc>
              <w:tc>
                <w:tcPr>
                  <w:tcW w:w="2188"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0" w:lineRule="atLeast"/>
                    <w:ind w:left="0" w:firstLine="0" w:firstLineChars="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产品设计差错率0；</w:t>
                  </w:r>
                </w:p>
                <w:p>
                  <w:pPr>
                    <w:keepNext w:val="0"/>
                    <w:keepLines w:val="0"/>
                    <w:pageBreakBefore w:val="0"/>
                    <w:widowControl w:val="0"/>
                    <w:numPr>
                      <w:ilvl w:val="0"/>
                      <w:numId w:val="3"/>
                    </w:numPr>
                    <w:kinsoku/>
                    <w:wordWrap/>
                    <w:overflowPunct/>
                    <w:topLinePunct w:val="0"/>
                    <w:autoSpaceDE/>
                    <w:autoSpaceDN/>
                    <w:bidi w:val="0"/>
                    <w:adjustRightInd/>
                    <w:snapToGrid/>
                    <w:spacing w:line="0" w:lineRule="atLeast"/>
                    <w:ind w:left="0" w:firstLine="0" w:firstLineChars="0"/>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产品设计节能率100%；</w:t>
                  </w:r>
                </w:p>
              </w:tc>
              <w:tc>
                <w:tcPr>
                  <w:tcW w:w="186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1、产品设计差错率0；</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2、产品设计节能率100%；</w:t>
                  </w:r>
                </w:p>
              </w:tc>
              <w:tc>
                <w:tcPr>
                  <w:tcW w:w="170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1、产品设计差错率0；</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rPr>
                    <w:t>2、产品设计节能率100%；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6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w:t>
                  </w:r>
                </w:p>
              </w:tc>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财务部</w:t>
                  </w:r>
                </w:p>
              </w:tc>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eastAsia" w:ascii="仿宋" w:hAnsi="仿宋" w:eastAsia="仿宋" w:cs="仿宋"/>
                      <w:color w:val="000000"/>
                      <w:sz w:val="18"/>
                      <w:szCs w:val="18"/>
                    </w:rPr>
                  </w:pPr>
                  <w:r>
                    <w:rPr>
                      <w:rFonts w:hint="eastAsia" w:ascii="仿宋" w:hAnsi="仿宋" w:eastAsia="仿宋" w:cs="仿宋"/>
                      <w:color w:val="000000"/>
                      <w:sz w:val="18"/>
                      <w:szCs w:val="18"/>
                    </w:rPr>
                    <w:t>目标</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0" w:firstLineChars="0"/>
                    <w:jc w:val="center"/>
                    <w:textAlignment w:val="auto"/>
                    <w:rPr>
                      <w:rFonts w:hint="eastAsia" w:ascii="仿宋" w:hAnsi="仿宋" w:eastAsia="仿宋" w:cs="仿宋"/>
                      <w:color w:val="000000"/>
                      <w:sz w:val="18"/>
                      <w:szCs w:val="18"/>
                    </w:rPr>
                  </w:pPr>
                  <w:r>
                    <w:rPr>
                      <w:rFonts w:hint="eastAsia" w:ascii="仿宋" w:hAnsi="仿宋" w:eastAsia="仿宋" w:cs="仿宋"/>
                      <w:color w:val="000000"/>
                      <w:sz w:val="18"/>
                      <w:szCs w:val="18"/>
                    </w:rPr>
                    <w:t>指标</w:t>
                  </w:r>
                </w:p>
              </w:tc>
              <w:tc>
                <w:tcPr>
                  <w:tcW w:w="2188" w:type="dxa"/>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0" w:lineRule="atLeast"/>
                    <w:ind w:left="0" w:firstLine="0" w:firstLineChars="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能源采购资金满足率100%</w:t>
                  </w:r>
                </w:p>
                <w:p>
                  <w:pPr>
                    <w:keepNext w:val="0"/>
                    <w:keepLines w:val="0"/>
                    <w:pageBreakBefore w:val="0"/>
                    <w:widowControl w:val="0"/>
                    <w:numPr>
                      <w:ilvl w:val="0"/>
                      <w:numId w:val="4"/>
                    </w:numPr>
                    <w:kinsoku/>
                    <w:wordWrap/>
                    <w:overflowPunct/>
                    <w:topLinePunct w:val="0"/>
                    <w:autoSpaceDE/>
                    <w:autoSpaceDN/>
                    <w:bidi w:val="0"/>
                    <w:adjustRightInd/>
                    <w:snapToGrid/>
                    <w:spacing w:line="0" w:lineRule="atLeast"/>
                    <w:ind w:left="0" w:firstLine="0" w:firstLineChars="0"/>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产品采购资金满足率100%</w:t>
                  </w:r>
                </w:p>
              </w:tc>
              <w:tc>
                <w:tcPr>
                  <w:tcW w:w="186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1、能源采购资金满足率100%</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2、产品采购资金满足率100%</w:t>
                  </w:r>
                </w:p>
              </w:tc>
              <w:tc>
                <w:tcPr>
                  <w:tcW w:w="170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firstLine="0" w:firstLineChars="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1、能源采购资金满足率100%</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rPr>
                    <w:t>2、产品采购资金满足率100%</w:t>
                  </w:r>
                </w:p>
              </w:tc>
            </w:tr>
          </w:tbl>
          <w:p>
            <w:pPr>
              <w:jc w:val="center"/>
              <w:rPr>
                <w:rFonts w:hint="default"/>
                <w:lang w:val="en-US" w:eastAsia="zh-CN"/>
              </w:rPr>
            </w:pPr>
          </w:p>
        </w:tc>
        <w:tc>
          <w:tcPr>
            <w:tcW w:w="1213" w:type="dxa"/>
          </w:tcPr>
          <w:p/>
          <w:p>
            <w:pPr>
              <w:pStyle w:val="2"/>
            </w:pPr>
          </w:p>
          <w:p/>
          <w:p>
            <w:pPr>
              <w:pStyle w:val="2"/>
            </w:pPr>
          </w:p>
          <w:p/>
          <w:p>
            <w:pPr>
              <w:pStyle w:val="2"/>
            </w:pPr>
          </w:p>
          <w:p/>
          <w:p>
            <w:pPr>
              <w:pStyle w:val="2"/>
            </w:pPr>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eastAsia="宋体" w:cs="Times New Roman"/>
                <w:sz w:val="21"/>
                <w:szCs w:val="21"/>
              </w:rPr>
              <w:t>2.</w:t>
            </w:r>
            <w:r>
              <w:rPr>
                <w:rFonts w:hint="eastAsia" w:ascii="宋体" w:hAnsi="宋体" w:eastAsia="宋体" w:cs="Times New Roman"/>
                <w:sz w:val="21"/>
                <w:szCs w:val="21"/>
                <w:lang w:val="en-US" w:eastAsia="zh-CN"/>
              </w:rPr>
              <w:t>查员工</w:t>
            </w:r>
            <w:r>
              <w:rPr>
                <w:rFonts w:hint="eastAsia" w:ascii="宋体" w:hAnsi="宋体" w:eastAsia="宋体" w:cs="Times New Roman"/>
                <w:sz w:val="21"/>
                <w:szCs w:val="21"/>
              </w:rPr>
              <w:t>的能力、意识及培训策划与实施</w:t>
            </w:r>
            <w:r>
              <w:rPr>
                <w:rFonts w:hint="eastAsia" w:ascii="宋体" w:hAnsi="宋体" w:eastAsia="宋体" w:cs="Times New Roman"/>
                <w:sz w:val="21"/>
                <w:szCs w:val="21"/>
                <w:lang w:val="en-US" w:eastAsia="zh-CN"/>
              </w:rPr>
              <w:t>效果</w:t>
            </w:r>
            <w:r>
              <w:rPr>
                <w:rFonts w:hint="eastAsia" w:ascii="宋体" w:hAnsi="宋体" w:cs="Times New Roman"/>
                <w:sz w:val="21"/>
                <w:szCs w:val="21"/>
                <w:lang w:val="en-US" w:eastAsia="zh-CN"/>
              </w:rPr>
              <w:t>，沟通</w:t>
            </w:r>
            <w:r>
              <w:rPr>
                <w:rFonts w:hint="eastAsia" w:ascii="宋体" w:hAnsi="宋体" w:eastAsia="宋体" w:cs="Times New Roman"/>
                <w:sz w:val="21"/>
                <w:szCs w:val="21"/>
                <w:lang w:eastAsia="zh-CN"/>
              </w:rPr>
              <w:t>；</w:t>
            </w:r>
          </w:p>
        </w:tc>
        <w:tc>
          <w:tcPr>
            <w:tcW w:w="960" w:type="dxa"/>
          </w:tcPr>
          <w:p>
            <w:pPr>
              <w:rPr>
                <w:rFonts w:hint="eastAsia"/>
              </w:rPr>
            </w:pPr>
            <w:r>
              <w:rPr>
                <w:rFonts w:hint="eastAsia"/>
              </w:rPr>
              <w:t>7.2</w:t>
            </w:r>
            <w:r>
              <w:rPr>
                <w:rFonts w:hint="eastAsia"/>
                <w:lang w:val="en-US" w:eastAsia="zh-CN"/>
              </w:rPr>
              <w:t>/</w:t>
            </w:r>
            <w:r>
              <w:rPr>
                <w:rFonts w:hint="eastAsia"/>
              </w:rPr>
              <w:t>7.3</w:t>
            </w:r>
          </w:p>
          <w:p>
            <w:pPr>
              <w:pStyle w:val="2"/>
              <w:ind w:left="0" w:leftChars="0" w:firstLine="0" w:firstLineChars="0"/>
              <w:rPr>
                <w:rFonts w:hint="default" w:eastAsia="宋体"/>
                <w:lang w:val="en-US" w:eastAsia="zh-CN"/>
              </w:rPr>
            </w:pPr>
            <w:r>
              <w:rPr>
                <w:rFonts w:hint="eastAsia" w:ascii="宋体" w:hAnsi="宋体" w:cs="Times New Roman"/>
                <w:sz w:val="21"/>
                <w:szCs w:val="21"/>
                <w:lang w:val="en-US" w:eastAsia="zh-CN"/>
              </w:rPr>
              <w:t>7</w:t>
            </w:r>
            <w:r>
              <w:rPr>
                <w:rFonts w:hint="eastAsia"/>
              </w:rPr>
              <w:t>.</w:t>
            </w:r>
            <w:r>
              <w:rPr>
                <w:rFonts w:hint="eastAsia" w:ascii="宋体" w:hAnsi="宋体" w:cs="Times New Roman"/>
                <w:sz w:val="21"/>
                <w:szCs w:val="21"/>
                <w:lang w:val="en-US" w:eastAsia="zh-CN"/>
              </w:rPr>
              <w:t>4</w:t>
            </w:r>
          </w:p>
        </w:tc>
        <w:tc>
          <w:tcPr>
            <w:tcW w:w="10376" w:type="dxa"/>
          </w:tcPr>
          <w:p>
            <w:pPr>
              <w:numPr>
                <w:ilvl w:val="0"/>
                <w:numId w:val="5"/>
              </w:numPr>
              <w:ind w:firstLine="420"/>
              <w:rPr>
                <w:rFonts w:hint="eastAsia"/>
                <w:lang w:val="en-US" w:eastAsia="zh-CN"/>
              </w:rPr>
            </w:pPr>
            <w:r>
              <w:rPr>
                <w:rFonts w:hint="eastAsia"/>
                <w:lang w:val="en-US" w:eastAsia="zh-CN"/>
              </w:rPr>
              <w:t>查阅文件</w:t>
            </w:r>
          </w:p>
          <w:p>
            <w:pPr>
              <w:numPr>
                <w:ilvl w:val="0"/>
                <w:numId w:val="0"/>
              </w:numPr>
              <w:ind w:firstLine="420" w:firstLineChars="200"/>
              <w:rPr>
                <w:rFonts w:hint="eastAsia"/>
              </w:rPr>
            </w:pPr>
            <w:r>
              <w:rPr>
                <w:rFonts w:hint="eastAsia"/>
              </w:rPr>
              <w:t>策划编制有</w:t>
            </w:r>
            <w:r>
              <w:rPr>
                <w:rFonts w:hint="eastAsia"/>
                <w:lang w:eastAsia="zh-CN"/>
              </w:rPr>
              <w:t>《DHJX/En-CX-07能力、意识和培训控制程序》《DHJX/En-CX-08</w:t>
            </w:r>
            <w:r>
              <w:rPr>
                <w:rFonts w:hint="eastAsia"/>
                <w:lang w:eastAsia="zh-CN"/>
              </w:rPr>
              <w:tab/>
            </w:r>
            <w:r>
              <w:rPr>
                <w:rFonts w:hint="eastAsia"/>
                <w:lang w:eastAsia="zh-CN"/>
              </w:rPr>
              <w:t>信息沟通程序》《QZF-ZC00HR-001-2018 A3考勤管理制度》《QZF-ZC00HR-002-2018 A2员工入离职及岗位异动管理规定》《QZF-ZC00HR-005-2020劳动合同管理制度》《QZF-ZC00HR-008-2020A3请销假管理制度》《QZF-ZC00HR-016-2018 A2转正调薪相关规定》《QZF-ZC00HR-023-2015A1离职员工返聘制度》《QZF-ZC00HR-024-2020人力资源管理制度》《QZF-ZC00HR-026-2020社会保险相关管理制度》《QZF-ZC00HR-027-2020离岗交接管理制度》等，有发布，实施。有编审批。确保了其适宜性和充分性。</w:t>
            </w:r>
            <w:r>
              <w:rPr>
                <w:rFonts w:hint="eastAsia"/>
                <w:lang w:val="en-US" w:eastAsia="zh-CN"/>
              </w:rPr>
              <w:t>并且在《能源手册》7.2、7.3、7.4条款中</w:t>
            </w:r>
            <w:r>
              <w:rPr>
                <w:rFonts w:hint="eastAsia"/>
              </w:rPr>
              <w:t>内容规定了人力资源部应组织确定与能源绩效和能源管理体系具有影响的人员必备的基本能力要求。</w:t>
            </w:r>
          </w:p>
          <w:p>
            <w:pPr>
              <w:ind w:firstLine="420"/>
              <w:rPr>
                <w:rFonts w:hint="default"/>
                <w:lang w:val="en-US" w:eastAsia="zh-CN"/>
              </w:rPr>
            </w:pPr>
            <w:r>
              <w:rPr>
                <w:rFonts w:hint="eastAsia"/>
                <w:lang w:val="en-US" w:eastAsia="zh-CN"/>
              </w:rPr>
              <w:t>在能力方面：</w:t>
            </w:r>
          </w:p>
          <w:p>
            <w:pPr>
              <w:ind w:firstLine="420"/>
              <w:rPr>
                <w:rFonts w:hint="eastAsia"/>
                <w:lang w:val="en-US" w:eastAsia="zh-CN"/>
              </w:rPr>
            </w:pPr>
            <w:r>
              <w:rPr>
                <w:rFonts w:hint="eastAsia"/>
                <w:lang w:val="en-US" w:eastAsia="zh-CN"/>
              </w:rPr>
              <w:t>公司制定《人力资源控制程序》确定了：</w:t>
            </w:r>
          </w:p>
          <w:p>
            <w:pPr>
              <w:ind w:firstLine="420"/>
              <w:rPr>
                <w:rFonts w:hint="eastAsia"/>
                <w:lang w:val="en-US" w:eastAsia="zh-CN"/>
              </w:rPr>
            </w:pPr>
            <w:r>
              <w:rPr>
                <w:rFonts w:hint="eastAsia"/>
                <w:lang w:val="en-US" w:eastAsia="zh-CN"/>
              </w:rPr>
              <w:t>a)确定在其控制下从事影响其能源性能和环境管理系统的工作的人的必要能力；</w:t>
            </w:r>
          </w:p>
          <w:p>
            <w:pPr>
              <w:ind w:firstLine="420"/>
              <w:rPr>
                <w:rFonts w:hint="eastAsia"/>
                <w:lang w:val="en-US" w:eastAsia="zh-CN"/>
              </w:rPr>
            </w:pPr>
            <w:r>
              <w:rPr>
                <w:rFonts w:hint="eastAsia"/>
                <w:lang w:val="en-US" w:eastAsia="zh-CN"/>
              </w:rPr>
              <w:t>b)根据适当的教育、培训、技能或经验，确保这些人能够胜任工作；</w:t>
            </w:r>
          </w:p>
          <w:p>
            <w:pPr>
              <w:ind w:firstLine="420"/>
              <w:rPr>
                <w:rFonts w:hint="eastAsia"/>
                <w:lang w:val="en-US" w:eastAsia="zh-CN"/>
              </w:rPr>
            </w:pPr>
            <w:r>
              <w:rPr>
                <w:rFonts w:hint="eastAsia"/>
                <w:lang w:val="en-US" w:eastAsia="zh-CN"/>
              </w:rPr>
              <w:t>c)在适用的情况下，采取行动获得必要的能力，并评估所采取行动的有效性；</w:t>
            </w:r>
          </w:p>
          <w:p>
            <w:pPr>
              <w:ind w:firstLine="420"/>
              <w:rPr>
                <w:rFonts w:hint="eastAsia"/>
                <w:lang w:val="en-US" w:eastAsia="zh-CN"/>
              </w:rPr>
            </w:pPr>
            <w:r>
              <w:rPr>
                <w:rFonts w:hint="eastAsia"/>
                <w:lang w:val="en-US" w:eastAsia="zh-CN"/>
              </w:rPr>
              <w:t>d)保持适当的记录信息作为证据的能力。</w:t>
            </w:r>
          </w:p>
          <w:p>
            <w:pPr>
              <w:ind w:firstLine="420"/>
              <w:rPr>
                <w:rFonts w:hint="eastAsia"/>
              </w:rPr>
            </w:pPr>
            <w:r>
              <w:rPr>
                <w:rFonts w:hint="eastAsia"/>
                <w:lang w:val="en-US" w:eastAsia="zh-CN"/>
              </w:rPr>
              <w:t>注意可适用的行动可以包括，例如，向目前受雇人员提供培训、指导或重新分配;或雇用或聘用合资格人士。</w:t>
            </w:r>
          </w:p>
          <w:p>
            <w:pPr>
              <w:ind w:firstLine="420"/>
              <w:rPr>
                <w:rFonts w:hint="eastAsia"/>
                <w:lang w:val="en-US" w:eastAsia="zh-CN"/>
              </w:rPr>
            </w:pPr>
            <w:r>
              <w:rPr>
                <w:rFonts w:hint="eastAsia"/>
                <w:lang w:val="en-US" w:eastAsia="zh-CN"/>
              </w:rPr>
              <w:t>在</w:t>
            </w:r>
            <w:r>
              <w:rPr>
                <w:rFonts w:hint="eastAsia"/>
              </w:rPr>
              <w:t>意识</w:t>
            </w:r>
            <w:r>
              <w:rPr>
                <w:rFonts w:hint="eastAsia"/>
                <w:lang w:val="en-US" w:eastAsia="zh-CN"/>
              </w:rPr>
              <w:t>方面：</w:t>
            </w:r>
          </w:p>
          <w:p>
            <w:pPr>
              <w:ind w:firstLine="420"/>
              <w:rPr>
                <w:rFonts w:hint="eastAsia"/>
                <w:lang w:val="en-US" w:eastAsia="zh-CN"/>
              </w:rPr>
            </w:pPr>
            <w:r>
              <w:rPr>
                <w:rFonts w:hint="eastAsia"/>
                <w:lang w:val="en-US" w:eastAsia="zh-CN"/>
              </w:rPr>
              <w:t>公司制定《人力资源控制程序》，务必使在公司控制下从事工作的人员知道；</w:t>
            </w:r>
          </w:p>
          <w:p>
            <w:pPr>
              <w:ind w:firstLine="420"/>
              <w:rPr>
                <w:rFonts w:hint="eastAsia"/>
                <w:lang w:val="en-US" w:eastAsia="zh-CN"/>
              </w:rPr>
            </w:pPr>
            <w:r>
              <w:rPr>
                <w:rFonts w:hint="eastAsia"/>
                <w:lang w:val="en-US" w:eastAsia="zh-CN"/>
              </w:rPr>
              <w:t>a)能源方针；</w:t>
            </w:r>
          </w:p>
          <w:p>
            <w:pPr>
              <w:ind w:firstLine="420"/>
              <w:rPr>
                <w:rFonts w:hint="eastAsia"/>
                <w:lang w:val="en-US" w:eastAsia="zh-CN"/>
              </w:rPr>
            </w:pPr>
            <w:r>
              <w:rPr>
                <w:rFonts w:hint="eastAsia"/>
                <w:lang w:val="en-US" w:eastAsia="zh-CN"/>
              </w:rPr>
              <w:t>b)他们的贡献运用的有效性,包括实现目标和能源目标，和提高能效的好处；</w:t>
            </w:r>
          </w:p>
          <w:p>
            <w:pPr>
              <w:ind w:firstLine="420"/>
              <w:rPr>
                <w:rFonts w:hint="eastAsia"/>
                <w:lang w:val="en-US" w:eastAsia="zh-CN"/>
              </w:rPr>
            </w:pPr>
            <w:r>
              <w:rPr>
                <w:rFonts w:hint="eastAsia"/>
                <w:lang w:val="en-US" w:eastAsia="zh-CN"/>
              </w:rPr>
              <w:t>c)其活动或行为对能源绩效的影响；</w:t>
            </w:r>
          </w:p>
          <w:p>
            <w:pPr>
              <w:ind w:firstLine="420"/>
              <w:rPr>
                <w:rFonts w:hint="eastAsia"/>
              </w:rPr>
            </w:pPr>
            <w:r>
              <w:rPr>
                <w:rFonts w:hint="eastAsia"/>
                <w:lang w:val="en-US" w:eastAsia="zh-CN"/>
              </w:rPr>
              <w:t>d)不符合EnMS要求的影响。</w:t>
            </w:r>
          </w:p>
          <w:p>
            <w:pPr>
              <w:ind w:firstLine="420" w:firstLineChars="200"/>
              <w:rPr>
                <w:rFonts w:hint="eastAsia"/>
                <w:lang w:val="en-US" w:eastAsia="zh-CN"/>
              </w:rPr>
            </w:pPr>
            <w:r>
              <w:rPr>
                <w:rFonts w:hint="eastAsia"/>
                <w:lang w:val="en-US" w:eastAsia="zh-CN"/>
              </w:rPr>
              <w:t>在沟通方面：</w:t>
            </w:r>
          </w:p>
          <w:p>
            <w:pPr>
              <w:ind w:firstLine="420" w:firstLineChars="200"/>
              <w:rPr>
                <w:rFonts w:hint="eastAsia"/>
              </w:rPr>
            </w:pPr>
            <w:r>
              <w:rPr>
                <w:rFonts w:hint="eastAsia"/>
              </w:rPr>
              <w:t>公司建立、实施并保持《</w:t>
            </w:r>
            <w:r>
              <w:rPr>
                <w:rFonts w:hint="eastAsia"/>
                <w:lang w:eastAsia="zh-CN"/>
              </w:rPr>
              <w:t>信息沟通程序</w:t>
            </w:r>
            <w:r>
              <w:rPr>
                <w:rFonts w:hint="eastAsia"/>
              </w:rPr>
              <w:t>》，以建立并保持与员工、相关方交流沟通，确保能源管理体系的有效运行。</w:t>
            </w:r>
          </w:p>
          <w:p>
            <w:pPr>
              <w:ind w:firstLine="420" w:firstLineChars="200"/>
              <w:rPr>
                <w:rFonts w:hint="eastAsia"/>
              </w:rPr>
            </w:pPr>
            <w:r>
              <w:rPr>
                <w:rFonts w:hint="eastAsia"/>
                <w:lang w:val="en-US" w:eastAsia="zh-CN"/>
              </w:rPr>
              <w:t>规定能源管理体系的相关信息进行内、外部交流的程序及交流的方式、内容、对象和时机。</w:t>
            </w:r>
          </w:p>
          <w:p>
            <w:pPr>
              <w:ind w:firstLine="420" w:firstLineChars="200"/>
              <w:rPr>
                <w:rFonts w:hint="eastAsia"/>
              </w:rPr>
            </w:pPr>
            <w:r>
              <w:rPr>
                <w:rFonts w:hint="eastAsia"/>
              </w:rPr>
              <w:t>信息的沟通方式主要有：文件、会议、宣传栏、计算机网络、报表等形式。</w:t>
            </w:r>
          </w:p>
          <w:p>
            <w:pPr>
              <w:ind w:firstLine="420" w:firstLineChars="200"/>
              <w:rPr>
                <w:rFonts w:hint="eastAsia"/>
                <w:lang w:val="en-US" w:eastAsia="zh-CN"/>
              </w:rPr>
            </w:pPr>
            <w:r>
              <w:rPr>
                <w:rFonts w:hint="eastAsia"/>
                <w:lang w:val="en-US" w:eastAsia="zh-CN"/>
              </w:rPr>
              <w:t>目前本部门没有发生有上述的问题。</w:t>
            </w:r>
          </w:p>
          <w:p>
            <w:pPr>
              <w:numPr>
                <w:ilvl w:val="0"/>
                <w:numId w:val="6"/>
              </w:numPr>
              <w:ind w:firstLine="420" w:firstLineChars="200"/>
              <w:rPr>
                <w:rFonts w:hint="eastAsia"/>
                <w:color w:val="000000" w:themeColor="text1"/>
                <w:lang w:val="en-US" w:eastAsia="zh-CN"/>
              </w:rPr>
            </w:pPr>
            <w:r>
              <w:rPr>
                <w:rFonts w:hint="eastAsia"/>
                <w:color w:val="000000" w:themeColor="text1"/>
                <w:lang w:val="en-US" w:eastAsia="zh-CN"/>
              </w:rPr>
              <w:t>查培训</w:t>
            </w:r>
          </w:p>
          <w:p>
            <w:pPr>
              <w:ind w:firstLine="420" w:firstLineChars="200"/>
              <w:rPr>
                <w:rFonts w:hint="eastAsia"/>
                <w:color w:val="FF0000"/>
                <w:lang w:val="en-US" w:eastAsia="zh-CN"/>
              </w:rPr>
            </w:pPr>
            <w:r>
              <w:rPr>
                <w:rFonts w:hint="eastAsia"/>
                <w:color w:val="000000" w:themeColor="text1"/>
                <w:lang w:val="en-US" w:eastAsia="zh-CN"/>
              </w:rPr>
              <w:t>提供《2021年度能源管理培训计划表》，涵盖内容有：序号、培训时间、培训内容、培训人员、培训形式、责任人或讲课人、备注。</w:t>
            </w:r>
          </w:p>
          <w:p>
            <w:pPr>
              <w:ind w:firstLine="420" w:firstLineChars="200"/>
              <w:rPr>
                <w:rFonts w:hint="eastAsia"/>
                <w:lang w:val="en-US" w:eastAsia="zh-CN"/>
              </w:rPr>
            </w:pPr>
            <w:r>
              <w:rPr>
                <w:rFonts w:hint="eastAsia"/>
                <w:lang w:val="en-US" w:eastAsia="zh-CN"/>
              </w:rPr>
              <w:drawing>
                <wp:inline distT="0" distB="0" distL="114300" distR="114300">
                  <wp:extent cx="3996055" cy="2167890"/>
                  <wp:effectExtent l="0" t="0" r="4445" b="3810"/>
                  <wp:docPr id="16" name="图片 16" descr="09fee4da16fb8fb759045f58cbf8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09fee4da16fb8fb759045f58cbf8b80"/>
                          <pic:cNvPicPr>
                            <a:picLocks noChangeAspect="1"/>
                          </pic:cNvPicPr>
                        </pic:nvPicPr>
                        <pic:blipFill>
                          <a:blip r:embed="rId6"/>
                          <a:stretch>
                            <a:fillRect/>
                          </a:stretch>
                        </pic:blipFill>
                        <pic:spPr>
                          <a:xfrm>
                            <a:off x="0" y="0"/>
                            <a:ext cx="3996055" cy="2167890"/>
                          </a:xfrm>
                          <a:prstGeom prst="rect">
                            <a:avLst/>
                          </a:prstGeom>
                        </pic:spPr>
                      </pic:pic>
                    </a:graphicData>
                  </a:graphic>
                </wp:inline>
              </w:drawing>
            </w:r>
          </w:p>
          <w:p>
            <w:pPr>
              <w:ind w:firstLine="420" w:firstLineChars="200"/>
              <w:rPr>
                <w:rFonts w:hint="eastAsia"/>
                <w:lang w:val="en-US" w:eastAsia="zh-CN"/>
              </w:rPr>
            </w:pPr>
          </w:p>
          <w:p>
            <w:pPr>
              <w:pStyle w:val="2"/>
              <w:rPr>
                <w:rFonts w:hint="eastAsia"/>
                <w:lang w:val="en-US" w:eastAsia="zh-CN"/>
              </w:rPr>
            </w:pPr>
            <w:r>
              <w:rPr>
                <w:rFonts w:hint="eastAsia"/>
                <w:lang w:val="en-US" w:eastAsia="zh-CN"/>
              </w:rPr>
              <w:t>培训效果评价采取：“培训结束后，能源管理办公室对培训进行考试，对考试不及格的进行处罚。”</w:t>
            </w:r>
          </w:p>
          <w:p>
            <w:pPr>
              <w:ind w:firstLine="420" w:firstLineChars="200"/>
              <w:rPr>
                <w:rFonts w:hint="eastAsia"/>
                <w:color w:val="FF0000"/>
                <w:lang w:val="en-US" w:eastAsia="zh-CN"/>
              </w:rPr>
            </w:pPr>
            <w:r>
              <w:rPr>
                <w:rFonts w:hint="eastAsia"/>
                <w:color w:val="FF0000"/>
                <w:lang w:val="en-US" w:eastAsia="zh-CN"/>
              </w:rPr>
              <w:t>查阅该公司《2021年度能源管理培训计划表》，培训效果的评价方法采取“培训结束后，能源管理办公室对培训进行考试，对考试不及格的进行处罚”，一句话的效果评价证据不充分。   问题</w:t>
            </w:r>
          </w:p>
          <w:p>
            <w:pPr>
              <w:pStyle w:val="2"/>
              <w:rPr>
                <w:rFonts w:hint="default"/>
                <w:color w:val="FF0000"/>
                <w:lang w:val="en-US" w:eastAsia="zh-CN"/>
              </w:rPr>
            </w:pPr>
            <w:r>
              <w:rPr>
                <w:rFonts w:hint="eastAsia"/>
                <w:color w:val="FF0000"/>
                <w:lang w:val="en-US" w:eastAsia="zh-CN"/>
              </w:rPr>
              <w:t>建议将职工技能培训也纳入培训计划与</w:t>
            </w:r>
            <w:bookmarkStart w:id="0" w:name="_GoBack"/>
            <w:bookmarkEnd w:id="0"/>
            <w:r>
              <w:rPr>
                <w:rFonts w:hint="eastAsia"/>
                <w:color w:val="FF0000"/>
                <w:lang w:val="en-US" w:eastAsia="zh-CN"/>
              </w:rPr>
              <w:t>实施管理。</w:t>
            </w:r>
          </w:p>
          <w:p>
            <w:pPr>
              <w:ind w:firstLine="420" w:firstLineChars="200"/>
              <w:rPr>
                <w:rFonts w:hint="default"/>
                <w:lang w:val="en-US" w:eastAsia="zh-CN"/>
              </w:rPr>
            </w:pPr>
            <w:r>
              <w:rPr>
                <w:rFonts w:hint="eastAsia"/>
                <w:lang w:val="en-US" w:eastAsia="zh-CN"/>
              </w:rPr>
              <w:t>三、查阅资质</w:t>
            </w:r>
          </w:p>
          <w:p>
            <w:pPr>
              <w:numPr>
                <w:ilvl w:val="0"/>
                <w:numId w:val="0"/>
              </w:numPr>
              <w:ind w:left="420" w:leftChars="0" w:firstLine="210" w:firstLineChars="100"/>
              <w:rPr>
                <w:rFonts w:hint="default"/>
                <w:lang w:val="en-US" w:eastAsia="zh-CN"/>
              </w:rPr>
            </w:pPr>
            <w:r>
              <w:rPr>
                <w:rFonts w:hint="eastAsia"/>
                <w:lang w:val="en-US" w:eastAsia="zh-CN"/>
              </w:rPr>
              <w:t>1、特种（设备）作业人员登记表   。</w:t>
            </w:r>
          </w:p>
          <w:p>
            <w:pPr>
              <w:ind w:firstLine="210" w:firstLineChars="100"/>
              <w:rPr>
                <w:rFonts w:hint="eastAsia"/>
                <w:lang w:val="en-US" w:eastAsia="zh-CN"/>
              </w:rPr>
            </w:pPr>
          </w:p>
          <w:p>
            <w:pPr>
              <w:ind w:firstLine="210" w:firstLineChars="100"/>
              <w:rPr>
                <w:rFonts w:hint="eastAsia"/>
                <w:lang w:val="en-US" w:eastAsia="zh-CN"/>
              </w:rPr>
            </w:pPr>
          </w:p>
          <w:p>
            <w:pPr>
              <w:ind w:firstLine="210" w:firstLineChars="100"/>
              <w:jc w:val="center"/>
            </w:pPr>
          </w:p>
          <w:p>
            <w:pPr>
              <w:jc w:val="center"/>
            </w:pPr>
            <w:r>
              <w:drawing>
                <wp:inline distT="0" distB="0" distL="114300" distR="114300">
                  <wp:extent cx="3775710" cy="1672590"/>
                  <wp:effectExtent l="0" t="0" r="3810" b="381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7"/>
                          <a:stretch>
                            <a:fillRect/>
                          </a:stretch>
                        </pic:blipFill>
                        <pic:spPr>
                          <a:xfrm>
                            <a:off x="0" y="0"/>
                            <a:ext cx="3775710" cy="1672590"/>
                          </a:xfrm>
                          <a:prstGeom prst="rect">
                            <a:avLst/>
                          </a:prstGeom>
                          <a:noFill/>
                          <a:ln>
                            <a:noFill/>
                          </a:ln>
                        </pic:spPr>
                      </pic:pic>
                    </a:graphicData>
                  </a:graphic>
                </wp:inline>
              </w:drawing>
            </w:r>
          </w:p>
          <w:p>
            <w:pPr>
              <w:jc w:val="center"/>
            </w:pPr>
          </w:p>
          <w:p>
            <w:pPr>
              <w:jc w:val="center"/>
              <w:rPr>
                <w:rFonts w:hint="eastAsia"/>
                <w:lang w:val="en-US" w:eastAsia="zh-CN"/>
              </w:rPr>
            </w:pPr>
            <w:r>
              <w:drawing>
                <wp:inline distT="0" distB="0" distL="114300" distR="114300">
                  <wp:extent cx="3756660" cy="880110"/>
                  <wp:effectExtent l="0" t="0" r="0" b="381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8"/>
                          <a:stretch>
                            <a:fillRect/>
                          </a:stretch>
                        </pic:blipFill>
                        <pic:spPr>
                          <a:xfrm>
                            <a:off x="0" y="0"/>
                            <a:ext cx="3756660" cy="880110"/>
                          </a:xfrm>
                          <a:prstGeom prst="rect">
                            <a:avLst/>
                          </a:prstGeom>
                          <a:noFill/>
                          <a:ln>
                            <a:noFill/>
                          </a:ln>
                        </pic:spPr>
                      </pic:pic>
                    </a:graphicData>
                  </a:graphic>
                </wp:inline>
              </w:drawing>
            </w:r>
          </w:p>
          <w:p>
            <w:pPr>
              <w:ind w:firstLine="210" w:firstLineChars="100"/>
              <w:rPr>
                <w:rFonts w:hint="eastAsia"/>
                <w:lang w:val="en-US" w:eastAsia="zh-CN"/>
              </w:rPr>
            </w:pPr>
            <w:r>
              <w:rPr>
                <w:rFonts w:hint="eastAsia"/>
                <w:lang w:val="en-US" w:eastAsia="zh-CN"/>
              </w:rPr>
              <w:t>等等符合要求。</w:t>
            </w:r>
          </w:p>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default"/>
                <w:lang w:val="en-US" w:eastAsia="zh-CN"/>
              </w:rPr>
            </w:pPr>
            <w:r>
              <w:rPr>
                <w:rFonts w:hint="eastAsia"/>
                <w:lang w:val="en-US" w:eastAsia="zh-CN"/>
              </w:rPr>
              <w:t>抽查原件：1、高压电工  陈犇、王顺华  符合要求。</w:t>
            </w:r>
          </w:p>
          <w:p>
            <w:pPr>
              <w:pStyle w:val="2"/>
              <w:jc w:val="center"/>
              <w:rPr>
                <w:rFonts w:hint="default"/>
                <w:lang w:val="en-US" w:eastAsia="zh-CN"/>
              </w:rPr>
            </w:pPr>
            <w:r>
              <w:rPr>
                <w:rFonts w:hint="default"/>
                <w:lang w:val="en-US" w:eastAsia="zh-CN"/>
              </w:rPr>
              <w:drawing>
                <wp:inline distT="0" distB="0" distL="114300" distR="114300">
                  <wp:extent cx="2729865" cy="1696085"/>
                  <wp:effectExtent l="0" t="0" r="5715" b="3175"/>
                  <wp:docPr id="11" name="图片 11" descr="98c769708a1c17aa1d8d340e89f0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8c769708a1c17aa1d8d340e89f0cbb"/>
                          <pic:cNvPicPr>
                            <a:picLocks noChangeAspect="1"/>
                          </pic:cNvPicPr>
                        </pic:nvPicPr>
                        <pic:blipFill>
                          <a:blip r:embed="rId9"/>
                          <a:stretch>
                            <a:fillRect/>
                          </a:stretch>
                        </pic:blipFill>
                        <pic:spPr>
                          <a:xfrm>
                            <a:off x="0" y="0"/>
                            <a:ext cx="2729865" cy="1696085"/>
                          </a:xfrm>
                          <a:prstGeom prst="rect">
                            <a:avLst/>
                          </a:prstGeom>
                        </pic:spPr>
                      </pic:pic>
                    </a:graphicData>
                  </a:graphic>
                </wp:inline>
              </w:drawing>
            </w:r>
            <w:r>
              <w:rPr>
                <w:rFonts w:hint="default"/>
                <w:lang w:val="en-US" w:eastAsia="zh-CN"/>
              </w:rPr>
              <w:drawing>
                <wp:inline distT="0" distB="0" distL="114300" distR="114300">
                  <wp:extent cx="2593975" cy="1695450"/>
                  <wp:effectExtent l="0" t="0" r="4445" b="3810"/>
                  <wp:docPr id="12" name="图片 12" descr="1158f94dff0ef56723953c5cfaa5e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158f94dff0ef56723953c5cfaa5e8a"/>
                          <pic:cNvPicPr>
                            <a:picLocks noChangeAspect="1"/>
                          </pic:cNvPicPr>
                        </pic:nvPicPr>
                        <pic:blipFill>
                          <a:blip r:embed="rId10"/>
                          <a:stretch>
                            <a:fillRect/>
                          </a:stretch>
                        </pic:blipFill>
                        <pic:spPr>
                          <a:xfrm>
                            <a:off x="0" y="0"/>
                            <a:ext cx="2593975" cy="1695450"/>
                          </a:xfrm>
                          <a:prstGeom prst="rect">
                            <a:avLst/>
                          </a:prstGeom>
                        </pic:spPr>
                      </pic:pic>
                    </a:graphicData>
                  </a:graphic>
                </wp:inline>
              </w:drawing>
            </w:r>
          </w:p>
          <w:p>
            <w:pPr>
              <w:pStyle w:val="2"/>
              <w:jc w:val="center"/>
              <w:rPr>
                <w:rFonts w:hint="default"/>
                <w:lang w:val="en-US" w:eastAsia="zh-CN"/>
              </w:rPr>
            </w:pPr>
          </w:p>
          <w:p>
            <w:pPr>
              <w:numPr>
                <w:ilvl w:val="0"/>
                <w:numId w:val="7"/>
              </w:numPr>
              <w:ind w:firstLine="210" w:firstLineChars="100"/>
              <w:rPr>
                <w:rFonts w:hint="eastAsia"/>
                <w:lang w:val="en-US" w:eastAsia="zh-CN"/>
              </w:rPr>
            </w:pPr>
            <w:r>
              <w:rPr>
                <w:rFonts w:hint="eastAsia"/>
                <w:lang w:val="en-US" w:eastAsia="zh-CN"/>
              </w:rPr>
              <w:t>熔化焊接与热切割证书  姜荣健、高压电工作业  黄明辉、低压电工作业  林允明</w:t>
            </w:r>
          </w:p>
          <w:p>
            <w:pPr>
              <w:pStyle w:val="2"/>
              <w:rPr>
                <w:rFonts w:hint="eastAsia"/>
                <w:lang w:val="en-US" w:eastAsia="zh-CN"/>
              </w:rPr>
            </w:pPr>
            <w:r>
              <w:rPr>
                <w:rFonts w:hint="eastAsia"/>
                <w:lang w:val="en-US" w:eastAsia="zh-CN"/>
              </w:rPr>
              <w:drawing>
                <wp:inline distT="0" distB="0" distL="114300" distR="114300">
                  <wp:extent cx="1722120" cy="2299970"/>
                  <wp:effectExtent l="0" t="0" r="0" b="1270"/>
                  <wp:docPr id="13" name="图片 13" descr="94bc68d22dc1289024b7523f3a53b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4bc68d22dc1289024b7523f3a53b3d"/>
                          <pic:cNvPicPr>
                            <a:picLocks noChangeAspect="1"/>
                          </pic:cNvPicPr>
                        </pic:nvPicPr>
                        <pic:blipFill>
                          <a:blip r:embed="rId11"/>
                          <a:stretch>
                            <a:fillRect/>
                          </a:stretch>
                        </pic:blipFill>
                        <pic:spPr>
                          <a:xfrm>
                            <a:off x="0" y="0"/>
                            <a:ext cx="1722120" cy="2299970"/>
                          </a:xfrm>
                          <a:prstGeom prst="rect">
                            <a:avLst/>
                          </a:prstGeom>
                        </pic:spPr>
                      </pic:pic>
                    </a:graphicData>
                  </a:graphic>
                </wp:inline>
              </w:drawing>
            </w:r>
            <w:r>
              <w:rPr>
                <w:rFonts w:hint="eastAsia"/>
                <w:lang w:val="en-US" w:eastAsia="zh-CN"/>
              </w:rPr>
              <w:drawing>
                <wp:inline distT="0" distB="0" distL="114300" distR="114300">
                  <wp:extent cx="1812290" cy="2326005"/>
                  <wp:effectExtent l="0" t="0" r="1270" b="5715"/>
                  <wp:docPr id="14" name="图片 14" descr="1ba39f75e57b14d520776ac8e5fcd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ba39f75e57b14d520776ac8e5fcdc2"/>
                          <pic:cNvPicPr>
                            <a:picLocks noChangeAspect="1"/>
                          </pic:cNvPicPr>
                        </pic:nvPicPr>
                        <pic:blipFill>
                          <a:blip r:embed="rId12"/>
                          <a:stretch>
                            <a:fillRect/>
                          </a:stretch>
                        </pic:blipFill>
                        <pic:spPr>
                          <a:xfrm>
                            <a:off x="0" y="0"/>
                            <a:ext cx="1812290" cy="2326005"/>
                          </a:xfrm>
                          <a:prstGeom prst="rect">
                            <a:avLst/>
                          </a:prstGeom>
                        </pic:spPr>
                      </pic:pic>
                    </a:graphicData>
                  </a:graphic>
                </wp:inline>
              </w:drawing>
            </w:r>
            <w:r>
              <w:rPr>
                <w:rFonts w:hint="eastAsia"/>
                <w:lang w:val="en-US" w:eastAsia="zh-CN"/>
              </w:rPr>
              <w:drawing>
                <wp:inline distT="0" distB="0" distL="114300" distR="114300">
                  <wp:extent cx="1892300" cy="2435860"/>
                  <wp:effectExtent l="0" t="0" r="5080" b="2540"/>
                  <wp:docPr id="15" name="图片 15" descr="6e0fdfc4dfad9abf1395bfe32f222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e0fdfc4dfad9abf1395bfe32f2220d"/>
                          <pic:cNvPicPr>
                            <a:picLocks noChangeAspect="1"/>
                          </pic:cNvPicPr>
                        </pic:nvPicPr>
                        <pic:blipFill>
                          <a:blip r:embed="rId13"/>
                          <a:stretch>
                            <a:fillRect/>
                          </a:stretch>
                        </pic:blipFill>
                        <pic:spPr>
                          <a:xfrm>
                            <a:off x="0" y="0"/>
                            <a:ext cx="1892300" cy="2435860"/>
                          </a:xfrm>
                          <a:prstGeom prst="rect">
                            <a:avLst/>
                          </a:prstGeom>
                        </pic:spPr>
                      </pic:pic>
                    </a:graphicData>
                  </a:graphic>
                </wp:inline>
              </w:drawing>
            </w:r>
          </w:p>
          <w:p>
            <w:pPr>
              <w:pStyle w:val="2"/>
              <w:rPr>
                <w:rFonts w:hint="eastAsia"/>
                <w:lang w:val="en-US" w:eastAsia="zh-CN"/>
              </w:rPr>
            </w:pPr>
            <w:r>
              <w:rPr>
                <w:rFonts w:hint="eastAsia"/>
                <w:lang w:val="en-US" w:eastAsia="zh-CN"/>
              </w:rPr>
              <w:t>有效。</w:t>
            </w:r>
          </w:p>
          <w:p>
            <w:pPr>
              <w:rPr>
                <w:rFonts w:hint="eastAsia"/>
                <w:lang w:val="en-US" w:eastAsia="zh-CN"/>
              </w:rPr>
            </w:pP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2160" w:type="dxa"/>
            <w:vMerge w:val="restart"/>
          </w:tcPr>
          <w:p>
            <w:pPr>
              <w:rPr>
                <w:rFonts w:hint="eastAsia" w:ascii="宋体" w:hAnsi="宋体" w:cs="Times New Roman"/>
                <w:sz w:val="21"/>
                <w:szCs w:val="21"/>
                <w:lang w:val="en-US" w:eastAsia="zh-CN"/>
              </w:rPr>
            </w:pPr>
            <w:r>
              <w:rPr>
                <w:rFonts w:hint="eastAsia" w:ascii="宋体" w:hAnsi="宋体" w:cs="Times New Roman"/>
                <w:sz w:val="21"/>
                <w:szCs w:val="21"/>
                <w:lang w:val="en-US" w:eastAsia="zh-CN"/>
              </w:rPr>
              <w:t>3.</w:t>
            </w:r>
            <w:r>
              <w:rPr>
                <w:rFonts w:hint="eastAsia" w:ascii="宋体" w:hAnsi="宋体" w:eastAsia="宋体" w:cs="Times New Roman"/>
                <w:sz w:val="21"/>
                <w:szCs w:val="21"/>
              </w:rPr>
              <w:t>运行的策划和控制、</w:t>
            </w:r>
          </w:p>
          <w:p>
            <w:pPr>
              <w:numPr>
                <w:ilvl w:val="0"/>
                <w:numId w:val="0"/>
              </w:numPr>
              <w:rPr>
                <w:rFonts w:hint="eastAsia"/>
              </w:rPr>
            </w:pPr>
            <w:r>
              <w:rPr>
                <w:rFonts w:hint="eastAsia"/>
                <w:lang w:val="en-US" w:eastAsia="zh-CN"/>
              </w:rPr>
              <w:t>4.</w:t>
            </w:r>
            <w:r>
              <w:rPr>
                <w:rFonts w:hint="eastAsia"/>
              </w:rPr>
              <w:t>不符合与纠正措施</w:t>
            </w:r>
          </w:p>
          <w:p>
            <w:pPr>
              <w:pStyle w:val="2"/>
              <w:numPr>
                <w:ilvl w:val="0"/>
                <w:numId w:val="0"/>
              </w:numPr>
              <w:ind w:leftChars="0"/>
              <w:rPr>
                <w:rFonts w:hint="default" w:eastAsia="宋体"/>
                <w:lang w:val="en-US" w:eastAsia="zh-CN"/>
              </w:rPr>
            </w:pPr>
            <w:r>
              <w:rPr>
                <w:rFonts w:hint="eastAsia"/>
                <w:lang w:val="en-US" w:eastAsia="zh-CN"/>
              </w:rPr>
              <w:t>5.持续改进</w:t>
            </w:r>
          </w:p>
        </w:tc>
        <w:tc>
          <w:tcPr>
            <w:tcW w:w="960" w:type="dxa"/>
            <w:vMerge w:val="restart"/>
          </w:tcPr>
          <w:p>
            <w:pPr>
              <w:pStyle w:val="2"/>
              <w:ind w:left="0" w:leftChars="0" w:firstLine="0" w:firstLineChars="0"/>
              <w:rPr>
                <w:rFonts w:hint="eastAsia" w:ascii="宋体" w:hAnsi="宋体" w:eastAsia="宋体" w:cs="Times New Roman"/>
                <w:sz w:val="21"/>
                <w:szCs w:val="21"/>
                <w:lang w:val="en-US" w:eastAsia="zh-CN"/>
              </w:rPr>
            </w:pPr>
            <w:r>
              <w:rPr>
                <w:rFonts w:hint="eastAsia" w:ascii="宋体" w:hAnsi="宋体" w:eastAsia="宋体" w:cs="Times New Roman"/>
                <w:sz w:val="21"/>
                <w:szCs w:val="21"/>
              </w:rPr>
              <w:t>8.1</w:t>
            </w:r>
            <w:r>
              <w:rPr>
                <w:rFonts w:hint="eastAsia" w:ascii="宋体" w:hAnsi="宋体" w:cs="Times New Roman"/>
                <w:sz w:val="21"/>
                <w:szCs w:val="21"/>
                <w:lang w:val="en-US" w:eastAsia="zh-CN"/>
              </w:rPr>
              <w:t>/</w:t>
            </w:r>
          </w:p>
          <w:p>
            <w:pPr>
              <w:pStyle w:val="2"/>
              <w:ind w:left="0" w:leftChars="0" w:firstLine="0" w:firstLineChars="0"/>
              <w:rPr>
                <w:rFonts w:hint="eastAsia" w:ascii="宋体" w:hAnsi="宋体" w:cs="Times New Roman"/>
                <w:sz w:val="21"/>
                <w:szCs w:val="21"/>
                <w:lang w:val="en-US" w:eastAsia="zh-CN"/>
              </w:rPr>
            </w:pPr>
            <w:r>
              <w:rPr>
                <w:rFonts w:hint="eastAsia" w:ascii="宋体" w:hAnsi="宋体" w:eastAsia="宋体" w:cs="Times New Roman"/>
                <w:sz w:val="21"/>
                <w:szCs w:val="21"/>
              </w:rPr>
              <w:t>10.1</w:t>
            </w:r>
            <w:r>
              <w:rPr>
                <w:rFonts w:hint="eastAsia" w:ascii="宋体" w:hAnsi="宋体" w:cs="Times New Roman"/>
                <w:sz w:val="21"/>
                <w:szCs w:val="21"/>
                <w:lang w:val="en-US" w:eastAsia="zh-CN"/>
              </w:rPr>
              <w:t>/</w:t>
            </w:r>
          </w:p>
          <w:p>
            <w:pPr>
              <w:pStyle w:val="2"/>
              <w:ind w:left="0" w:leftChars="0" w:firstLine="0" w:firstLineChars="0"/>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10.2</w:t>
            </w:r>
          </w:p>
        </w:tc>
        <w:tc>
          <w:tcPr>
            <w:tcW w:w="10376" w:type="dxa"/>
            <w:vMerge w:val="restart"/>
          </w:tcPr>
          <w:p>
            <w:pPr>
              <w:ind w:firstLine="420"/>
              <w:rPr>
                <w:rFonts w:hint="default"/>
                <w:lang w:val="en-US" w:eastAsia="zh-CN"/>
              </w:rPr>
            </w:pPr>
            <w:r>
              <w:rPr>
                <w:rFonts w:hint="eastAsia"/>
                <w:lang w:val="en-US" w:eastAsia="zh-CN"/>
              </w:rPr>
              <w:t>提供人力资源方面的制度：</w:t>
            </w:r>
            <w:r>
              <w:rPr>
                <w:rFonts w:hint="eastAsia"/>
              </w:rPr>
              <w:t>策划编制有</w:t>
            </w:r>
            <w:r>
              <w:rPr>
                <w:rFonts w:hint="eastAsia"/>
                <w:lang w:eastAsia="zh-CN"/>
              </w:rPr>
              <w:t>《DHJX/En-CX-07能力、意识和培训控制程序》《DHJX/En-CX-08</w:t>
            </w:r>
            <w:r>
              <w:rPr>
                <w:rFonts w:hint="eastAsia"/>
                <w:lang w:eastAsia="zh-CN"/>
              </w:rPr>
              <w:tab/>
            </w:r>
            <w:r>
              <w:rPr>
                <w:rFonts w:hint="eastAsia"/>
                <w:lang w:eastAsia="zh-CN"/>
              </w:rPr>
              <w:t>信息沟通程序》《QZF-ZC00HR-001-2018 A3考勤管理制度》《QZF-ZC00HR-002-2018 A2员工入离职及岗位异动管理规定》《QZF-ZC00HR-005-2020劳动合同管理制度》《QZF-ZC00HR-008-2020A3请销假管理制度》《QZF-ZC00HR-016-2018 A2转正调薪相关规定》《QZF-ZC00HR-023-2015A1离职员工返聘制度》《QZF-ZC00HR-024-2020人力资源管理制度》《QZF-ZC00HR-026-2020社会保险相关管理制度》《QZF-ZC00HR-027-2020离岗交接管理制度》等，</w:t>
            </w:r>
            <w:r>
              <w:rPr>
                <w:rFonts w:hint="eastAsia" w:ascii="宋体" w:hAnsi="宋体" w:cs="Times New Roman"/>
                <w:sz w:val="21"/>
                <w:szCs w:val="21"/>
                <w:lang w:eastAsia="zh-CN"/>
              </w:rPr>
              <w:t>有编审批，确保了其适宜性和充分性。</w:t>
            </w:r>
            <w:r>
              <w:rPr>
                <w:rFonts w:hint="eastAsia" w:ascii="宋体" w:hAnsi="宋体" w:cs="Times New Roman"/>
                <w:sz w:val="21"/>
                <w:szCs w:val="21"/>
                <w:lang w:val="en-US" w:eastAsia="zh-CN"/>
              </w:rPr>
              <w:t>并且在《能源手册》8.1条款中</w:t>
            </w:r>
            <w:r>
              <w:rPr>
                <w:rFonts w:hint="eastAsia" w:ascii="宋体" w:hAnsi="宋体" w:eastAsia="宋体" w:cs="Times New Roman"/>
                <w:sz w:val="21"/>
                <w:szCs w:val="21"/>
              </w:rPr>
              <w:t>内容规定了人力资源部应组织确定与能源绩效和能源管理体系具有影响的人员必备的基本能力要求。</w:t>
            </w:r>
            <w:r>
              <w:rPr>
                <w:rFonts w:hint="eastAsia"/>
                <w:lang w:val="en-US" w:eastAsia="zh-CN"/>
              </w:rPr>
              <w:t>等。</w:t>
            </w:r>
          </w:p>
          <w:p>
            <w:pPr>
              <w:ind w:firstLine="420" w:firstLineChars="200"/>
              <w:rPr>
                <w:rFonts w:hint="eastAsia"/>
                <w:lang w:val="en-US" w:eastAsia="zh-CN"/>
              </w:rPr>
            </w:pPr>
            <w:r>
              <w:rPr>
                <w:rFonts w:hint="eastAsia"/>
                <w:lang w:val="en-US" w:eastAsia="zh-CN"/>
              </w:rPr>
              <w:t>提供《DHJX/En-CX-18</w:t>
            </w:r>
            <w:r>
              <w:rPr>
                <w:rFonts w:hint="eastAsia"/>
                <w:lang w:val="en-US" w:eastAsia="zh-CN"/>
              </w:rPr>
              <w:tab/>
            </w:r>
            <w:r>
              <w:rPr>
                <w:rFonts w:hint="eastAsia"/>
                <w:lang w:val="en-US" w:eastAsia="zh-CN"/>
              </w:rPr>
              <w:t>监视和测量控制程序》《DHJX/En-CX-22</w:t>
            </w:r>
            <w:r>
              <w:rPr>
                <w:rFonts w:hint="eastAsia"/>
                <w:lang w:val="en-US" w:eastAsia="zh-CN"/>
              </w:rPr>
              <w:tab/>
            </w:r>
            <w:r>
              <w:rPr>
                <w:rFonts w:hint="eastAsia"/>
                <w:lang w:val="en-US" w:eastAsia="zh-CN"/>
              </w:rPr>
              <w:t>不符合、纠正、改进措施程序》公司规定了为了及时纠正在能源管理体系运行中发现的不符合，采取有效的纠正措施与预防措施，减少对生产经营活动的影响，避免不符合的再次发生。</w:t>
            </w:r>
          </w:p>
          <w:p>
            <w:pPr>
              <w:pStyle w:val="2"/>
              <w:rPr>
                <w:rFonts w:hint="eastAsia"/>
                <w:lang w:val="en-US" w:eastAsia="zh-CN"/>
              </w:rPr>
            </w:pPr>
            <w:r>
              <w:rPr>
                <w:rFonts w:hint="eastAsia"/>
                <w:lang w:val="en-US" w:eastAsia="zh-CN"/>
              </w:rPr>
              <w:t>人力资源部对公司分管的职责进行每月的绩效考核。包括以下方面的工作：负责组织公司职工教育培训工</w:t>
            </w:r>
          </w:p>
          <w:p>
            <w:pPr>
              <w:rPr>
                <w:rFonts w:hint="eastAsia"/>
                <w:lang w:val="en-US" w:eastAsia="zh-CN"/>
              </w:rPr>
            </w:pPr>
            <w:r>
              <w:rPr>
                <w:rFonts w:hint="eastAsia"/>
                <w:lang w:val="en-US" w:eastAsia="zh-CN"/>
              </w:rPr>
              <w:t>作，并对培训效果进行考核。严把招工关，新招录人员符合从业条件。加强劳动纪律管理，严格考核，保证正常的安全生产秩序。负责薪酬管理工作，职工上岗、评奖、晋升、薪酬分配与安全生产挂钩考核。</w:t>
            </w:r>
          </w:p>
          <w:p>
            <w:pPr>
              <w:ind w:firstLine="420" w:firstLineChars="200"/>
              <w:rPr>
                <w:rFonts w:hint="default"/>
                <w:lang w:val="en-US" w:eastAsia="zh-CN"/>
              </w:rPr>
            </w:pPr>
            <w:r>
              <w:rPr>
                <w:rFonts w:hint="eastAsia"/>
                <w:lang w:val="en-US" w:eastAsia="zh-CN"/>
              </w:rPr>
              <w:t>至今每月进行监管与检查没有发生不符合。</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2160" w:type="dxa"/>
            <w:vMerge w:val="continue"/>
          </w:tcPr>
          <w:p>
            <w:pPr>
              <w:pStyle w:val="2"/>
              <w:numPr>
                <w:ilvl w:val="0"/>
                <w:numId w:val="0"/>
              </w:numPr>
              <w:ind w:leftChars="0"/>
              <w:rPr>
                <w:rFonts w:hint="default" w:eastAsia="宋体"/>
                <w:lang w:val="en-US" w:eastAsia="zh-CN"/>
              </w:rPr>
            </w:pPr>
          </w:p>
        </w:tc>
        <w:tc>
          <w:tcPr>
            <w:tcW w:w="960" w:type="dxa"/>
            <w:vMerge w:val="continue"/>
          </w:tcPr>
          <w:p>
            <w:pPr>
              <w:pStyle w:val="2"/>
              <w:ind w:left="0" w:leftChars="0" w:firstLine="0" w:firstLineChars="0"/>
              <w:rPr>
                <w:rFonts w:hint="default" w:ascii="宋体" w:hAnsi="宋体" w:eastAsia="宋体" w:cs="Times New Roman"/>
                <w:sz w:val="21"/>
                <w:szCs w:val="21"/>
                <w:lang w:val="en-US" w:eastAsia="zh-CN"/>
              </w:rPr>
            </w:pPr>
          </w:p>
        </w:tc>
        <w:tc>
          <w:tcPr>
            <w:tcW w:w="10376" w:type="dxa"/>
            <w:vMerge w:val="continue"/>
          </w:tcPr>
          <w:p>
            <w:pPr>
              <w:ind w:firstLine="420" w:firstLineChars="200"/>
              <w:rPr>
                <w:rFonts w:hint="default"/>
                <w:lang w:val="en-US" w:eastAsia="zh-CN"/>
              </w:rPr>
            </w:pPr>
          </w:p>
        </w:tc>
        <w:tc>
          <w:tcPr>
            <w:tcW w:w="1213" w:type="dxa"/>
          </w:tc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-36195</wp:posOffset>
          </wp:positionV>
          <wp:extent cx="389890" cy="366395"/>
          <wp:effectExtent l="0" t="0" r="6350" b="6985"/>
          <wp:wrapTight wrapText="bothSides">
            <wp:wrapPolygon>
              <wp:start x="5910" y="0"/>
              <wp:lineTo x="0" y="3145"/>
              <wp:lineTo x="0" y="16621"/>
              <wp:lineTo x="6332" y="21113"/>
              <wp:lineTo x="9287" y="21113"/>
              <wp:lineTo x="14353" y="21113"/>
              <wp:lineTo x="14775" y="21113"/>
              <wp:lineTo x="20685" y="14375"/>
              <wp:lineTo x="20685" y="5840"/>
              <wp:lineTo x="17308" y="1797"/>
              <wp:lineTo x="14353" y="0"/>
              <wp:lineTo x="5910"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389890" cy="366395"/>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9D7B7"/>
    <w:multiLevelType w:val="singleLevel"/>
    <w:tmpl w:val="9C69D7B7"/>
    <w:lvl w:ilvl="0" w:tentative="0">
      <w:start w:val="2"/>
      <w:numFmt w:val="chineseCounting"/>
      <w:suff w:val="nothing"/>
      <w:lvlText w:val="%1、"/>
      <w:lvlJc w:val="left"/>
      <w:rPr>
        <w:rFonts w:hint="eastAsia"/>
      </w:rPr>
    </w:lvl>
  </w:abstractNum>
  <w:abstractNum w:abstractNumId="1">
    <w:nsid w:val="A902984A"/>
    <w:multiLevelType w:val="singleLevel"/>
    <w:tmpl w:val="A902984A"/>
    <w:lvl w:ilvl="0" w:tentative="0">
      <w:start w:val="1"/>
      <w:numFmt w:val="decimal"/>
      <w:suff w:val="nothing"/>
      <w:lvlText w:val="%1、"/>
      <w:lvlJc w:val="left"/>
    </w:lvl>
  </w:abstractNum>
  <w:abstractNum w:abstractNumId="2">
    <w:nsid w:val="FC05674C"/>
    <w:multiLevelType w:val="singleLevel"/>
    <w:tmpl w:val="FC05674C"/>
    <w:lvl w:ilvl="0" w:tentative="0">
      <w:start w:val="2"/>
      <w:numFmt w:val="decimal"/>
      <w:suff w:val="nothing"/>
      <w:lvlText w:val="%1、"/>
      <w:lvlJc w:val="left"/>
    </w:lvl>
  </w:abstractNum>
  <w:abstractNum w:abstractNumId="3">
    <w:nsid w:val="FC0A0383"/>
    <w:multiLevelType w:val="singleLevel"/>
    <w:tmpl w:val="FC0A0383"/>
    <w:lvl w:ilvl="0" w:tentative="0">
      <w:start w:val="1"/>
      <w:numFmt w:val="chineseCounting"/>
      <w:suff w:val="nothing"/>
      <w:lvlText w:val="%1、"/>
      <w:lvlJc w:val="left"/>
      <w:rPr>
        <w:rFonts w:hint="eastAsia"/>
      </w:rPr>
    </w:lvl>
  </w:abstractNum>
  <w:abstractNum w:abstractNumId="4">
    <w:nsid w:val="0CA68D3F"/>
    <w:multiLevelType w:val="singleLevel"/>
    <w:tmpl w:val="0CA68D3F"/>
    <w:lvl w:ilvl="0" w:tentative="0">
      <w:start w:val="1"/>
      <w:numFmt w:val="decimal"/>
      <w:suff w:val="nothing"/>
      <w:lvlText w:val="%1、"/>
      <w:lvlJc w:val="left"/>
    </w:lvl>
  </w:abstractNum>
  <w:abstractNum w:abstractNumId="5">
    <w:nsid w:val="25001683"/>
    <w:multiLevelType w:val="singleLevel"/>
    <w:tmpl w:val="25001683"/>
    <w:lvl w:ilvl="0" w:tentative="0">
      <w:start w:val="1"/>
      <w:numFmt w:val="decimal"/>
      <w:suff w:val="nothing"/>
      <w:lvlText w:val="%1、"/>
      <w:lvlJc w:val="left"/>
    </w:lvl>
  </w:abstractNum>
  <w:abstractNum w:abstractNumId="6">
    <w:nsid w:val="4A6F3551"/>
    <w:multiLevelType w:val="singleLevel"/>
    <w:tmpl w:val="4A6F3551"/>
    <w:lvl w:ilvl="0" w:tentative="0">
      <w:start w:val="1"/>
      <w:numFmt w:val="decimal"/>
      <w:suff w:val="nothing"/>
      <w:lvlText w:val="%1、"/>
      <w:lvlJc w:val="left"/>
    </w:lvl>
  </w:abstractNum>
  <w:num w:numId="1">
    <w:abstractNumId w:val="6"/>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2035E4E"/>
    <w:rsid w:val="049241BE"/>
    <w:rsid w:val="06733461"/>
    <w:rsid w:val="0C200D56"/>
    <w:rsid w:val="108219C2"/>
    <w:rsid w:val="11171A8E"/>
    <w:rsid w:val="14D728B8"/>
    <w:rsid w:val="16BD7C63"/>
    <w:rsid w:val="17E52C11"/>
    <w:rsid w:val="1CB922AB"/>
    <w:rsid w:val="2177554E"/>
    <w:rsid w:val="22B31393"/>
    <w:rsid w:val="254030D9"/>
    <w:rsid w:val="25781ADD"/>
    <w:rsid w:val="26A001C3"/>
    <w:rsid w:val="2C6C02D0"/>
    <w:rsid w:val="33392002"/>
    <w:rsid w:val="37D70FD8"/>
    <w:rsid w:val="383D2B20"/>
    <w:rsid w:val="3C0C3095"/>
    <w:rsid w:val="3F9D652A"/>
    <w:rsid w:val="414D2B24"/>
    <w:rsid w:val="41EB158B"/>
    <w:rsid w:val="423D7A69"/>
    <w:rsid w:val="47936EDF"/>
    <w:rsid w:val="4B9F31AA"/>
    <w:rsid w:val="4FC45709"/>
    <w:rsid w:val="51FB57D8"/>
    <w:rsid w:val="53946D67"/>
    <w:rsid w:val="555D7216"/>
    <w:rsid w:val="55C25692"/>
    <w:rsid w:val="56D65953"/>
    <w:rsid w:val="56D74891"/>
    <w:rsid w:val="588277BB"/>
    <w:rsid w:val="5BFD0207"/>
    <w:rsid w:val="5EA12B9A"/>
    <w:rsid w:val="5F2773C0"/>
    <w:rsid w:val="63540074"/>
    <w:rsid w:val="7AB13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font01"/>
    <w:basedOn w:val="10"/>
    <w:qFormat/>
    <w:uiPriority w:val="0"/>
    <w:rPr>
      <w:rFonts w:hint="eastAsia" w:ascii="宋体" w:hAnsi="宋体" w:eastAsia="宋体" w:cs="宋体"/>
      <w:color w:val="000000"/>
      <w:sz w:val="20"/>
      <w:szCs w:val="20"/>
      <w:u w:val="none"/>
    </w:rPr>
  </w:style>
  <w:style w:type="paragraph" w:styleId="16">
    <w:name w:val="List Paragraph"/>
    <w:basedOn w:val="1"/>
    <w:qFormat/>
    <w:uiPriority w:val="1"/>
    <w:pPr>
      <w:autoSpaceDE w:val="0"/>
      <w:autoSpaceDN w:val="0"/>
      <w:spacing w:before="92"/>
      <w:ind w:left="980" w:hanging="601"/>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6</TotalTime>
  <ScaleCrop>false</ScaleCrop>
  <LinksUpToDate>false</LinksUpToDate>
  <CharactersWithSpaces>147</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王宁敏</cp:lastModifiedBy>
  <dcterms:modified xsi:type="dcterms:W3CDTF">2021-09-29T02:05:28Z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