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3"/>
        <w:gridCol w:w="126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西诺控股集团有限公司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2.7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ge">
                    <wp:posOffset>39370</wp:posOffset>
                  </wp:positionV>
                  <wp:extent cx="570230" cy="435610"/>
                  <wp:effectExtent l="0" t="0" r="1270" b="8890"/>
                  <wp:wrapSquare wrapText="bothSides"/>
                  <wp:docPr id="1" name="图片 2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-172720</wp:posOffset>
                  </wp:positionV>
                  <wp:extent cx="660400" cy="459740"/>
                  <wp:effectExtent l="0" t="0" r="0" b="10160"/>
                  <wp:wrapSquare wrapText="bothSides"/>
                  <wp:docPr id="2" name="图片 2" descr="e62a8817cb6ebb9f0cc132070a58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62a8817cb6ebb9f0cc132070a58c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Theme="minorEastAsia" w:hAnsiTheme="minorEastAsia" w:cstheme="minor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-4097020</wp:posOffset>
                  </wp:positionV>
                  <wp:extent cx="5115560" cy="5441950"/>
                  <wp:effectExtent l="0" t="0" r="2540" b="6350"/>
                  <wp:wrapSquare wrapText="bothSides"/>
                  <wp:docPr id="3" name="图片 3" descr="16310837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108377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560" cy="544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主要能源使用：电力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主要能源参数：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主要能耗设备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机械事业部：数控机床、铣床、空压机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；</w:t>
            </w:r>
            <w:bookmarkStart w:id="9" w:name="_GoBack"/>
            <w:bookmarkEnd w:id="9"/>
          </w:p>
          <w:p>
            <w:pPr>
              <w:pStyle w:val="3"/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模具事业部：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注塑机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工艺磨、铣床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车床、螺杆式空压机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中华人民共和国节约能源法、中华人民共和国可再生能源法、中华人民共和国清洁生产促进法、关于加强节能工作的决定、节约能源监测管理暂行规定、节约用电管理办法、国家鼓励发展的资源节约综合利用和环境保护技术、节能减排统计监测及考核实施方案、高耗能落后机电设备(产品)淘汰目录(第一批)至（第四批）、《模具行业“十三五”发展指引纲要》、综合能耗计算通则、用能单位能源计量器具配备与管理通则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instrText xml:space="preserve"> HYPERLINK "https://www.so.com/link?m=bRQFQaK/eZbtSqDSNp8cCGRw4DkKW1S2UC3JHFMbA0O8wJDbP6Mh0CVKNZmhkAgF9/7DSRH6W89FMDvyxeZnuJLCQ5Ps+Z7xrHGxLelJ7kfeO2GNnsbeLV5Szu+Ta2jccjBn0KeAwg+O2cdlx2Jdb/lhkrtTumInDPMsZevErYDA3UGXlai0C6/l0gS0bq2Lcf801sl0Yr/RafekBn6zgEYrmQYyLc3sVW3Fifg7oVy2idWMt" \t "https://www.so.com/_blank" </w:instrTex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能源管理体系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-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机械制造企业认证要求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487045</wp:posOffset>
                  </wp:positionH>
                  <wp:positionV relativeFrom="page">
                    <wp:posOffset>12065</wp:posOffset>
                  </wp:positionV>
                  <wp:extent cx="570230" cy="435610"/>
                  <wp:effectExtent l="0" t="0" r="1270" b="8890"/>
                  <wp:wrapSquare wrapText="bothSides"/>
                  <wp:docPr id="4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ge">
                    <wp:posOffset>37465</wp:posOffset>
                  </wp:positionV>
                  <wp:extent cx="570230" cy="435610"/>
                  <wp:effectExtent l="0" t="0" r="1270" b="8890"/>
                  <wp:wrapSquare wrapText="bothSides"/>
                  <wp:docPr id="5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B53490"/>
    <w:rsid w:val="3CF56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2021-10-06T15:06:03Z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