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管理者代表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   8:00-9:00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GB/T23331-2020标准4.2条款 “法律法规”的内容。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4.2 理解相关方的需求和期望  组织应确定： a）与能源绩效和EnMS有关的相关方；b）这些相关方的相关要求；c）识别的需求和期望中哪些需要组织通过EnMS处理。 组织应： — 确保具有获得与能源效率、能源使用和能源消耗有关的适用的法律法规要求和其他要求的渠道； — 确定这些要求如何适用于它的能源效率、能源使用和能源消耗； — 确保这些要求得到考虑； — 按规定的间隔评审它的法律法规要求和其他要求。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刘冉冉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了解GB/T23331-2020标准4.2条款法律法规知识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刘琦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日期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2021.9.26  10：00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4322184"/>
    <w:rsid w:val="3CED3AE9"/>
    <w:rsid w:val="3D6409C0"/>
    <w:rsid w:val="484E6BEE"/>
    <w:rsid w:val="51241391"/>
    <w:rsid w:val="6EFE430C"/>
    <w:rsid w:val="6FE62FEE"/>
    <w:rsid w:val="72152234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2021-09-25T02:52:47Z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ED69A369A03A4BA9B8D8656B04BDB081</vt:lpwstr>
  </property>
</Properties>
</file>