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0946-2021-EnMs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诺伟家具制造（廊坊）有限公司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2"/>
      </w:pPr>
    </w:p>
    <w:p>
      <w:pPr>
        <w:pStyle w:val="12"/>
      </w:pPr>
    </w:p>
    <w:p>
      <w:pPr>
        <w:pStyle w:val="12"/>
      </w:pPr>
    </w:p>
    <w:p>
      <w:pPr>
        <w:pStyle w:val="1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诺伟家具制造（廊坊）有限公司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河北省廊坊市永清县别古庄镇王希村村南</w:t>
            </w:r>
            <w:bookmarkEnd w:id="6"/>
          </w:p>
        </w:tc>
        <w:tc>
          <w:tcPr>
            <w:tcW w:w="1242" w:type="dxa"/>
            <w:vMerge w:val="restart"/>
            <w:vAlign w:val="center"/>
          </w:tcPr>
          <w:p>
            <w:r>
              <w:rPr>
                <w:rFonts w:hint="eastAsia"/>
              </w:rPr>
              <w:t>邮编</w:t>
            </w:r>
          </w:p>
        </w:tc>
        <w:tc>
          <w:tcPr>
            <w:tcW w:w="1771" w:type="dxa"/>
          </w:tcPr>
          <w:p>
            <w:bookmarkStart w:id="7" w:name="注册邮编"/>
            <w:r>
              <w:t>065600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河北省廊坊市永清县别古庄镇王希村村南</w:t>
            </w:r>
            <w:bookmarkEnd w:id="8"/>
          </w:p>
        </w:tc>
        <w:tc>
          <w:tcPr>
            <w:tcW w:w="1242" w:type="dxa"/>
            <w:vMerge w:val="continue"/>
            <w:vAlign w:val="center"/>
          </w:tcPr>
          <w:p/>
        </w:tc>
        <w:tc>
          <w:tcPr>
            <w:tcW w:w="1771" w:type="dxa"/>
          </w:tcPr>
          <w:p>
            <w:bookmarkStart w:id="9" w:name="办公邮编"/>
            <w:r>
              <w:t>065600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刘丽婷</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刘丽婷</w:t>
            </w:r>
            <w:bookmarkEnd w:id="13"/>
          </w:p>
        </w:tc>
        <w:tc>
          <w:tcPr>
            <w:tcW w:w="1313" w:type="dxa"/>
            <w:vAlign w:val="center"/>
          </w:tcPr>
          <w:p>
            <w:r>
              <w:rPr>
                <w:rFonts w:hint="eastAsia"/>
              </w:rPr>
              <w:t>管理者代表</w:t>
            </w:r>
          </w:p>
        </w:tc>
        <w:tc>
          <w:tcPr>
            <w:tcW w:w="2180" w:type="dxa"/>
          </w:tcPr>
          <w:p>
            <w:bookmarkStart w:id="14" w:name="管理者代表"/>
            <w:r>
              <w:t>刘琦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eastAsia="宋体"/>
                <w:b/>
                <w:sz w:val="20"/>
                <w:lang w:eastAsia="zh-CN"/>
              </w:rPr>
              <w:drawing>
                <wp:inline distT="0" distB="0" distL="114300" distR="114300">
                  <wp:extent cx="5205730" cy="1409065"/>
                  <wp:effectExtent l="0" t="0" r="1270" b="635"/>
                  <wp:docPr id="1" name="图片 1" descr="1969109dae1d9b71b197e46a0ffd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69109dae1d9b71b197e46a0ffd029"/>
                          <pic:cNvPicPr>
                            <a:picLocks noChangeAspect="1"/>
                          </pic:cNvPicPr>
                        </pic:nvPicPr>
                        <pic:blipFill>
                          <a:blip r:embed="rId6"/>
                          <a:stretch>
                            <a:fillRect/>
                          </a:stretch>
                        </pic:blipFill>
                        <pic:spPr>
                          <a:xfrm>
                            <a:off x="0" y="0"/>
                            <a:ext cx="5205730" cy="1409065"/>
                          </a:xfrm>
                          <a:prstGeom prst="rect">
                            <a:avLst/>
                          </a:prstGeom>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2021年09月23日 下午至2021年09月25日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pPr>
              <w:rPr>
                <w:rFonts w:hint="eastAsia" w:ascii="Times New Roman" w:hAnsi="Times New Roman" w:eastAsia="宋体" w:cs="Times New Roman"/>
              </w:rPr>
            </w:pPr>
            <w:r>
              <w:rPr>
                <w:rFonts w:hint="eastAsia"/>
                <w:lang w:val="de-DE" w:eastAsia="zh-CN"/>
              </w:rPr>
              <w:t>☑</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RB</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T 109-2013 能源管理体系</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人造板及木制品企业认证要求</w:t>
            </w:r>
            <w:r>
              <w:rPr>
                <w:rFonts w:hint="default" w:ascii="Times New Roman" w:hAnsi="Times New Roman" w:eastAsia="宋体" w:cs="Times New Roman"/>
                <w:lang w:val="en-US" w:eastAsia="zh-CN"/>
              </w:rPr>
              <w:fldChar w:fldCharType="end"/>
            </w:r>
            <w:r>
              <w:rPr>
                <w:rFonts w:hint="eastAsia" w:ascii="Times New Roman" w:hAnsi="Times New Roman" w:eastAsia="宋体" w:cs="Times New Roman"/>
              </w:rPr>
              <w:t>能源管理体系标准要求</w:t>
            </w:r>
            <w:r>
              <w:rPr>
                <w:rFonts w:hint="eastAsia" w:ascii="Times New Roman" w:hAnsi="Times New Roman" w:eastAsia="宋体" w:cs="Times New Roman"/>
                <w:lang w:eastAsia="zh-CN"/>
              </w:rPr>
              <w:t>；</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河北省廊坊市永清县别古庄镇王希村村南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□手持设备 </w:t>
            </w:r>
            <w:r>
              <w:rPr>
                <w:rFonts w:hint="eastAsia" w:ascii="宋体"/>
                <w:b/>
                <w:color w:val="0000FF"/>
                <w:szCs w:val="21"/>
                <w:lang w:eastAsia="zh-CN"/>
              </w:rPr>
              <w:t>☑</w:t>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木家具、家具（限水性漆工艺、红木家具）的设计、生产和销售所涉及的能源管理活动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w:t>
            </w:r>
            <w:r>
              <w:rPr>
                <w:rFonts w:hint="eastAsia"/>
              </w:rPr>
              <w:t>年</w:t>
            </w:r>
            <w:r>
              <w:rPr>
                <w:rFonts w:hint="eastAsia"/>
                <w:lang w:val="en-US" w:eastAsia="zh-CN"/>
              </w:rPr>
              <w:t>2</w:t>
            </w:r>
            <w:r>
              <w:rPr>
                <w:rFonts w:hint="eastAsia"/>
              </w:rPr>
              <w:t xml:space="preserve">月 </w:t>
            </w:r>
            <w:r>
              <w:rPr>
                <w:rFonts w:hint="eastAsia"/>
                <w:lang w:val="en-US" w:eastAsia="zh-CN"/>
              </w:rPr>
              <w:t>6</w:t>
            </w:r>
            <w:r>
              <w:rPr>
                <w:rFonts w:hint="eastAsia"/>
              </w:rPr>
              <w:t>日</w:t>
            </w:r>
          </w:p>
          <w:p>
            <w:pPr>
              <w:jc w:val="center"/>
            </w:pPr>
          </w:p>
        </w:tc>
        <w:tc>
          <w:tcPr>
            <w:tcW w:w="1883" w:type="dxa"/>
            <w:vAlign w:val="center"/>
          </w:tcPr>
          <w:p>
            <w:r>
              <w:rPr>
                <w:rFonts w:hint="eastAsia"/>
              </w:rPr>
              <w:t>管理体系运行已超过3个月</w:t>
            </w:r>
          </w:p>
          <w:p>
            <w:r>
              <w:rPr>
                <w:rFonts w:hint="eastAsia"/>
                <w:b/>
                <w:bCs/>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val="0"/>
                <w:bCs/>
                <w:color w:val="000000"/>
                <w:szCs w:val="21"/>
              </w:rPr>
              <w:t>诺伟家具制造（廊坊）有限公司</w:t>
            </w:r>
            <w:r>
              <w:rPr>
                <w:rFonts w:hint="eastAsia" w:ascii="宋体"/>
                <w:b w:val="0"/>
                <w:bCs/>
                <w:color w:val="000000"/>
                <w:szCs w:val="21"/>
                <w:lang w:val="en-US" w:eastAsia="zh-CN"/>
              </w:rPr>
              <w:t>/</w:t>
            </w:r>
            <w:r>
              <w:rPr>
                <w:rFonts w:ascii="宋体"/>
                <w:b w:val="0"/>
                <w:bCs/>
                <w:color w:val="000000"/>
                <w:szCs w:val="21"/>
              </w:rPr>
              <w:t>河北省廊坊市永清县别古庄镇王希村村南</w:t>
            </w:r>
          </w:p>
        </w:tc>
        <w:tc>
          <w:tcPr>
            <w:tcW w:w="2267" w:type="dxa"/>
          </w:tcPr>
          <w:p>
            <w:pPr>
              <w:spacing w:before="40" w:after="40"/>
              <w:rPr>
                <w:rFonts w:eastAsia="黑体"/>
                <w:szCs w:val="21"/>
                <w:lang w:val="de-DE" w:eastAsia="ja-JP"/>
              </w:rPr>
            </w:pPr>
            <w:r>
              <w:rPr>
                <w:rFonts w:ascii="宋体"/>
                <w:b w:val="0"/>
                <w:bCs/>
                <w:color w:val="000000"/>
                <w:szCs w:val="21"/>
              </w:rPr>
              <w:t>河北省廊坊市永清县别古庄镇王希村村南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pPr>
              <w:pStyle w:val="21"/>
              <w:rPr>
                <w:rFonts w:eastAsia="黑体" w:cs="Arial"/>
                <w:sz w:val="21"/>
                <w:szCs w:val="21"/>
                <w:lang w:val="en-US" w:eastAsia="ja-JP"/>
              </w:rPr>
            </w:pPr>
            <w:r>
              <w:t>木家具、家具（限水性漆工艺、红木家具）的设计、生产和销售所涉及的能源管理活动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李晨光</w:t>
            </w:r>
          </w:p>
        </w:tc>
        <w:tc>
          <w:tcPr>
            <w:tcW w:w="1089" w:type="dxa"/>
            <w:vAlign w:val="center"/>
          </w:tcPr>
          <w:p>
            <w:r>
              <w:t>组员</w:t>
            </w:r>
          </w:p>
        </w:tc>
        <w:tc>
          <w:tcPr>
            <w:tcW w:w="711" w:type="dxa"/>
            <w:vAlign w:val="center"/>
          </w:tcPr>
          <w:p>
            <w:r>
              <w:t>男</w:t>
            </w:r>
          </w:p>
        </w:tc>
        <w:tc>
          <w:tcPr>
            <w:tcW w:w="3870" w:type="dxa"/>
            <w:vAlign w:val="center"/>
          </w:tcPr>
          <w:p>
            <w:r>
              <w:t>ISC-JSZJ-386</w:t>
            </w:r>
          </w:p>
          <w:p>
            <w:r>
              <w:t>廊坊科艺尚品家具有限公司</w:t>
            </w:r>
          </w:p>
        </w:tc>
        <w:tc>
          <w:tcPr>
            <w:tcW w:w="2179" w:type="dxa"/>
            <w:vAlign w:val="center"/>
          </w:tcPr>
          <w:p>
            <w:r>
              <w:t>2.10</w:t>
            </w: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r>
              <w:t>木家具、家具（限水性漆工艺、红木家具）的设计、生产和销售所涉及的能源管理活动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rPr>
              <w:drawing>
                <wp:anchor distT="0" distB="0" distL="114300" distR="114300" simplePos="0" relativeHeight="251661312" behindDoc="0" locked="0" layoutInCell="1" allowOverlap="1">
                  <wp:simplePos x="0" y="0"/>
                  <wp:positionH relativeFrom="column">
                    <wp:posOffset>701040</wp:posOffset>
                  </wp:positionH>
                  <wp:positionV relativeFrom="page">
                    <wp:posOffset>5203190</wp:posOffset>
                  </wp:positionV>
                  <wp:extent cx="570230" cy="435610"/>
                  <wp:effectExtent l="0" t="0" r="1270" b="889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办公室</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t>□</w:t>
            </w:r>
            <w:r>
              <w:rPr>
                <w:rFonts w:hint="eastAsia"/>
                <w:highlight w:val="none"/>
              </w:rPr>
              <w:t xml:space="preserve">单位产品燃料气消耗 □加热炉热效率 </w:t>
            </w:r>
            <w:r>
              <w:rPr>
                <w:rFonts w:hint="eastAsia"/>
                <w:highlight w:val="none"/>
                <w:lang w:eastAsia="zh-CN"/>
              </w:rPr>
              <w:t>☑</w:t>
            </w:r>
            <w:r>
              <w:rPr>
                <w:rFonts w:hint="eastAsia"/>
                <w:highlight w:val="none"/>
              </w:rPr>
              <w:t xml:space="preserve">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2729"/>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shd w:val="clear" w:color="auto" w:fill="EBF1DE" w:themeFill="accent3" w:themeFillTint="32"/>
                    <w:rPr>
                      <w:rFonts w:hint="eastAsia" w:eastAsia="宋体"/>
                      <w:highlight w:val="none"/>
                    </w:rPr>
                  </w:pPr>
                  <w:r>
                    <w:rPr>
                      <w:rFonts w:hint="eastAsia" w:eastAsia="宋体"/>
                      <w:highlight w:val="none"/>
                    </w:rPr>
                    <w:t>节能目标</w:t>
                  </w:r>
                </w:p>
              </w:tc>
              <w:tc>
                <w:tcPr>
                  <w:tcW w:w="2729" w:type="dxa"/>
                  <w:shd w:val="clear" w:color="auto" w:fill="auto"/>
                </w:tcPr>
                <w:p>
                  <w:pPr>
                    <w:shd w:val="clear" w:color="auto" w:fill="EBF1DE" w:themeFill="accent3" w:themeFillTint="32"/>
                    <w:rPr>
                      <w:rFonts w:hint="eastAsia" w:eastAsia="宋体"/>
                      <w:highlight w:val="none"/>
                    </w:rPr>
                  </w:pPr>
                  <w:r>
                    <w:rPr>
                      <w:rFonts w:hint="eastAsia" w:eastAsia="宋体"/>
                      <w:highlight w:val="none"/>
                    </w:rPr>
                    <w:t>控制措施</w:t>
                  </w:r>
                </w:p>
              </w:tc>
              <w:tc>
                <w:tcPr>
                  <w:tcW w:w="1759" w:type="dxa"/>
                  <w:shd w:val="clear" w:color="auto" w:fill="auto"/>
                </w:tcPr>
                <w:p>
                  <w:pPr>
                    <w:shd w:val="clear" w:color="auto" w:fill="EBF1DE" w:themeFill="accent3" w:themeFillTint="32"/>
                    <w:rPr>
                      <w:rFonts w:hint="eastAsia" w:eastAsia="宋体"/>
                      <w:highlight w:val="none"/>
                    </w:rPr>
                  </w:pPr>
                  <w:r>
                    <w:rPr>
                      <w:rFonts w:hint="eastAsia" w:eastAsia="宋体"/>
                      <w:highlight w:val="none"/>
                    </w:rPr>
                    <w:t>责任部门</w:t>
                  </w:r>
                </w:p>
              </w:tc>
              <w:tc>
                <w:tcPr>
                  <w:tcW w:w="1649" w:type="dxa"/>
                  <w:shd w:val="clear" w:color="auto" w:fill="auto"/>
                </w:tcPr>
                <w:p>
                  <w:pPr>
                    <w:shd w:val="clear" w:color="auto" w:fill="EBF1DE" w:themeFill="accent3" w:themeFillTint="32"/>
                    <w:rPr>
                      <w:rFonts w:hint="eastAsia" w:eastAsia="宋体"/>
                      <w:highlight w:val="none"/>
                    </w:rPr>
                  </w:pPr>
                  <w:r>
                    <w:rPr>
                      <w:rFonts w:hint="eastAsia" w:eastAsia="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4" w:type="dxa"/>
                  <w:shd w:val="clear" w:color="auto" w:fill="auto"/>
                </w:tcPr>
                <w:p>
                  <w:pPr>
                    <w:shd w:val="clear" w:color="auto" w:fill="EBF1DE" w:themeFill="accent3" w:themeFillTint="32"/>
                    <w:rPr>
                      <w:rFonts w:hint="eastAsia" w:eastAsia="宋体"/>
                      <w:highlight w:val="none"/>
                    </w:rPr>
                  </w:pPr>
                  <w:r>
                    <w:rPr>
                      <w:rFonts w:hint="eastAsia" w:eastAsia="宋体"/>
                      <w:highlight w:val="none"/>
                      <w:lang w:val="en-US" w:eastAsia="zh-CN"/>
                    </w:rPr>
                    <w:t>6.16kgce/</w:t>
                  </w:r>
                  <w:r>
                    <w:rPr>
                      <w:rFonts w:hint="default" w:eastAsia="宋体"/>
                      <w:highlight w:val="none"/>
                      <w:lang w:val="en-US" w:eastAsia="zh-CN"/>
                    </w:rPr>
                    <w:t>万</w:t>
                  </w:r>
                  <w:r>
                    <w:rPr>
                      <w:rFonts w:hint="eastAsia" w:eastAsia="宋体"/>
                      <w:highlight w:val="none"/>
                      <w:lang w:val="en-US" w:eastAsia="zh-CN"/>
                    </w:rPr>
                    <w:t>元</w:t>
                  </w:r>
                </w:p>
              </w:tc>
              <w:tc>
                <w:tcPr>
                  <w:tcW w:w="272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eastAsia="宋体"/>
                      <w:highlight w:val="none"/>
                      <w:lang w:val="en-US" w:eastAsia="zh-CN"/>
                    </w:rPr>
                    <w:t>1加强能源使用管理；2正常生产，避免无故停机；3、加强操作员工的熟练程度。</w:t>
                  </w:r>
                </w:p>
              </w:tc>
              <w:tc>
                <w:tcPr>
                  <w:tcW w:w="175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eastAsia="宋体"/>
                      <w:highlight w:val="none"/>
                      <w:lang w:val="en-US" w:eastAsia="zh-CN"/>
                    </w:rPr>
                    <w:t>生产部/办公室</w:t>
                  </w:r>
                </w:p>
              </w:tc>
              <w:tc>
                <w:tcPr>
                  <w:tcW w:w="1649" w:type="dxa"/>
                  <w:shd w:val="clear" w:color="auto" w:fill="auto"/>
                  <w:vAlign w:val="center"/>
                </w:tcPr>
                <w:p>
                  <w:pPr>
                    <w:shd w:val="clear" w:color="auto" w:fill="EBF1DE" w:themeFill="accent3" w:themeFillTint="32"/>
                    <w:rPr>
                      <w:rFonts w:hint="eastAsia" w:eastAsia="宋体"/>
                      <w:highlight w:val="none"/>
                      <w:lang w:val="en-US" w:eastAsia="zh-CN"/>
                    </w:rPr>
                  </w:pPr>
                  <w:r>
                    <w:rPr>
                      <w:rFonts w:hint="eastAsia" w:eastAsia="宋体"/>
                      <w:highlight w:val="none"/>
                      <w:lang w:val="en-US" w:eastAsia="zh-CN"/>
                    </w:rPr>
                    <w:t>5.52kgce/</w:t>
                  </w:r>
                  <w:r>
                    <w:rPr>
                      <w:rFonts w:hint="default" w:eastAsia="宋体"/>
                      <w:highlight w:val="none"/>
                      <w:lang w:val="en-US" w:eastAsia="zh-CN"/>
                    </w:rPr>
                    <w:t>万</w:t>
                  </w:r>
                  <w:r>
                    <w:rPr>
                      <w:rFonts w:hint="eastAsia" w:eastAsia="宋体"/>
                      <w:highlight w:val="none"/>
                      <w:lang w:val="en-US" w:eastAsia="zh-CN"/>
                    </w:rPr>
                    <w:t>元（完成）</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建筑面积</w:t>
            </w:r>
            <w:r>
              <w:rPr>
                <w:rFonts w:hint="eastAsia"/>
                <w:highlight w:val="none"/>
                <w:lang w:eastAsia="zh-CN"/>
              </w:rPr>
              <w:t>：</w:t>
            </w:r>
            <w:r>
              <w:rPr>
                <w:rFonts w:hint="eastAsia"/>
                <w:color w:val="000000"/>
                <w:szCs w:val="18"/>
                <w:lang w:val="en-US" w:eastAsia="zh-CN"/>
              </w:rPr>
              <w:t>18666.67</w:t>
            </w:r>
            <w:r>
              <w:rPr>
                <w:rFonts w:hint="eastAsia"/>
                <w:highlight w:val="none"/>
                <w:lang w:val="en-US" w:eastAsia="zh-CN"/>
              </w:rPr>
              <w:t>㎡</w:t>
            </w:r>
            <w:r>
              <w:rPr>
                <w:rFonts w:hint="eastAsia"/>
                <w:highlight w:val="none"/>
              </w:rPr>
              <w:t xml:space="preserve">；生产车间 </w:t>
            </w:r>
            <w:r>
              <w:rPr>
                <w:rFonts w:hint="eastAsia"/>
                <w:highlight w:val="none"/>
                <w:lang w:val="en-US" w:eastAsia="zh-CN"/>
              </w:rPr>
              <w:t>4</w:t>
            </w:r>
            <w:r>
              <w:rPr>
                <w:rFonts w:hint="eastAsia"/>
                <w:highlight w:val="none"/>
              </w:rPr>
              <w:t>个；库房</w:t>
            </w:r>
            <w:r>
              <w:rPr>
                <w:rFonts w:hint="eastAsia"/>
                <w:highlight w:val="none"/>
                <w:lang w:val="en-US" w:eastAsia="zh-CN"/>
              </w:rPr>
              <w:t>4</w:t>
            </w:r>
            <w:r>
              <w:rPr>
                <w:rFonts w:hint="eastAsia"/>
                <w:highlight w:val="none"/>
              </w:rPr>
              <w:t>个；实验室</w:t>
            </w:r>
            <w:r>
              <w:rPr>
                <w:rFonts w:hint="eastAsia"/>
                <w:highlight w:val="none"/>
                <w:lang w:val="en-US" w:eastAsia="zh-CN"/>
              </w:rPr>
              <w:t>0</w:t>
            </w:r>
            <w:r>
              <w:rPr>
                <w:rFonts w:hint="eastAsia"/>
                <w:highlight w:val="none"/>
              </w:rPr>
              <w:t>个；</w:t>
            </w:r>
          </w:p>
          <w:p>
            <w:pPr>
              <w:shd w:val="clear" w:color="auto" w:fill="EBF1DE" w:themeFill="accent3" w:themeFillTint="32"/>
              <w:rPr>
                <w:rFonts w:hint="eastAsia"/>
                <w:highlight w:val="none"/>
              </w:rPr>
            </w:pPr>
            <w:r>
              <w:rPr>
                <w:rFonts w:hint="eastAsia"/>
                <w:highlight w:val="none"/>
              </w:rPr>
              <w:t>主要生产设备有：</w:t>
            </w:r>
            <w:r>
              <w:rPr>
                <w:rFonts w:hint="eastAsia"/>
                <w:highlight w:val="none"/>
                <w:lang w:val="en-US" w:eastAsia="zh-CN"/>
              </w:rPr>
              <w:t>冲压折弯机、电焊机、切割机、包边机、开孔机</w:t>
            </w:r>
            <w:r>
              <w:rPr>
                <w:rFonts w:hint="eastAsia"/>
                <w:highlight w:val="none"/>
              </w:rPr>
              <w:t xml:space="preserve"> （列举2~4种）</w:t>
            </w:r>
          </w:p>
          <w:p>
            <w:pPr>
              <w:shd w:val="clear" w:color="auto" w:fill="EBF1DE" w:themeFill="accent3" w:themeFillTint="32"/>
              <w:rPr>
                <w:rFonts w:hint="eastAsia"/>
                <w:highlight w:val="none"/>
              </w:rPr>
            </w:pPr>
            <w:r>
              <w:rPr>
                <w:rFonts w:hint="eastAsia"/>
                <w:highlight w:val="none"/>
              </w:rPr>
              <w:t>主要耗能设备有：</w:t>
            </w:r>
            <w:r>
              <w:rPr>
                <w:rFonts w:hint="eastAsia"/>
                <w:highlight w:val="none"/>
                <w:lang w:val="en-US" w:eastAsia="zh-CN"/>
              </w:rPr>
              <w:t>冲压折弯机、电焊机、切割机、包边机、开孔机</w:t>
            </w:r>
            <w:r>
              <w:rPr>
                <w:rFonts w:hint="eastAsia"/>
                <w:highlight w:val="none"/>
              </w:rPr>
              <w:t>（列举2~4种）</w:t>
            </w:r>
          </w:p>
          <w:p>
            <w:pPr>
              <w:shd w:val="clear" w:color="auto" w:fill="EBF1DE" w:themeFill="accent3" w:themeFillTint="32"/>
              <w:rPr>
                <w:rFonts w:hint="eastAsia"/>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A8"/>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A8"/>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rFonts w:hint="eastAsia"/>
                <w:highlight w:val="none"/>
              </w:rPr>
            </w:pPr>
            <w:r>
              <w:rPr>
                <w:rFonts w:hint="eastAsia"/>
                <w:highlight w:val="none"/>
              </w:rPr>
              <w:t xml:space="preserve">□组织现有基础设施可基本满足能源管理体系运行，但是还有不足需要补充：           </w:t>
            </w:r>
          </w:p>
          <w:p>
            <w:pPr>
              <w:shd w:val="clear" w:color="auto" w:fill="EBF1DE" w:themeFill="accent3" w:themeFillTint="32"/>
              <w:rPr>
                <w:rFonts w:hint="eastAsia"/>
                <w:highlight w:val="none"/>
              </w:rPr>
            </w:pPr>
            <w:r>
              <w:rPr>
                <w:rFonts w:hint="eastAsia"/>
                <w:highlight w:val="none"/>
              </w:rPr>
              <w:t xml:space="preserve">□组织现有基础设施完全不能满足能源管理体系运行，需要从外部供方获得：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计量器具的测量溯源方法：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rFonts w:hint="eastAsia"/>
                <w:highlight w:val="none"/>
              </w:rPr>
            </w:pPr>
            <w:r>
              <w:rPr>
                <w:rFonts w:hint="eastAsia"/>
                <w:highlight w:val="none"/>
              </w:rPr>
              <w:t xml:space="preserve">能源计量器具有： </w:t>
            </w:r>
            <w:r>
              <w:rPr>
                <w:rFonts w:hint="eastAsia"/>
                <w:highlight w:val="none"/>
                <w:lang w:val="en-US" w:eastAsia="zh-CN"/>
              </w:rPr>
              <w:t>天然气流量计、电力表</w:t>
            </w:r>
            <w:r>
              <w:rPr>
                <w:rFonts w:hint="eastAsia"/>
                <w:highlight w:val="none"/>
              </w:rPr>
              <w:t xml:space="preserve">    （列举1~4种）</w:t>
            </w:r>
          </w:p>
          <w:p>
            <w:pPr>
              <w:shd w:val="clear" w:color="auto" w:fill="EBF1DE" w:themeFill="accent3" w:themeFillTint="32"/>
              <w:rPr>
                <w:rFonts w:hint="eastAsia"/>
                <w:highlight w:val="non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lang w:val="en-US" w:eastAsia="zh-CN"/>
              </w:rPr>
              <w:t>电量表由国家电网和嘉兴天逸新能源有限公司负责。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rFonts w:hint="eastAsia"/>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hint="eastAsia"/>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组织已确定与能源管理体系相关的信息沟通。</w:t>
            </w:r>
          </w:p>
          <w:p>
            <w:pPr>
              <w:shd w:val="clear" w:color="auto" w:fill="EBF1DE" w:themeFill="accent3" w:themeFillTint="32"/>
              <w:rPr>
                <w:rFonts w:hint="eastAsia"/>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 xml:space="preserve">体系文件基本受控，存在问题：                           </w:t>
            </w:r>
          </w:p>
          <w:p>
            <w:pPr>
              <w:shd w:val="clear" w:color="auto" w:fill="EBF1DE" w:themeFill="accent3" w:themeFillTint="32"/>
              <w:rPr>
                <w:rFonts w:hint="eastAsia"/>
                <w:highlight w:val="none"/>
              </w:rPr>
            </w:pPr>
            <w:r>
              <w:rPr>
                <w:rFonts w:hint="eastAsia"/>
                <w:highlight w:val="none"/>
              </w:rPr>
              <w:t>对节能相关的外来文件（法律法规、产品标准）进行了识别和贯彻。</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 xml:space="preserve">法律法规获取充分，□法律法规获取有遗漏，缺少：                           </w:t>
            </w:r>
          </w:p>
          <w:p>
            <w:pPr>
              <w:shd w:val="clear" w:color="auto" w:fill="EBF1DE" w:themeFill="accent3" w:themeFillTint="32"/>
              <w:rPr>
                <w:rFonts w:hint="eastAsia"/>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组织为满足节能管理的要求，已对用能过程建立了相应的运行准则；按照运行准则实施过程控制。策划文件包括：</w:t>
            </w:r>
          </w:p>
          <w:p>
            <w:pPr>
              <w:shd w:val="clear" w:color="auto" w:fill="EBF1DE" w:themeFill="accent3" w:themeFillTint="32"/>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FE"/>
            </w:r>
            <w:r>
              <w:rPr>
                <w:rFonts w:hint="eastAsia"/>
                <w:highlight w:val="none"/>
              </w:rPr>
              <w:t xml:space="preserve">工艺卡片   </w:t>
            </w:r>
            <w:r>
              <w:rPr>
                <w:rFonts w:hint="eastAsia"/>
                <w:highlight w:val="none"/>
              </w:rPr>
              <w:sym w:font="Wingdings" w:char="00FE"/>
            </w:r>
            <w:r>
              <w:rPr>
                <w:rFonts w:hint="eastAsia"/>
                <w:highlight w:val="none"/>
              </w:rPr>
              <w:t xml:space="preserve">接收准则  </w:t>
            </w:r>
            <w:r>
              <w:rPr>
                <w:rFonts w:hint="eastAsia"/>
                <w:highlight w:val="none"/>
              </w:rPr>
              <w:sym w:font="Wingdings" w:char="00FE"/>
            </w:r>
            <w:r>
              <w:rPr>
                <w:rFonts w:hint="eastAsia"/>
                <w:highlight w:val="none"/>
              </w:rPr>
              <w:t xml:space="preserve">工艺流程图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rFonts w:hint="eastAsia"/>
                <w:highlight w:val="none"/>
              </w:rPr>
            </w:pPr>
            <w:r>
              <w:rPr>
                <w:rFonts w:hint="eastAsia"/>
                <w:highlight w:val="none"/>
              </w:rPr>
              <w:t xml:space="preserve">审核期间内，设计和开发新产品/项目名称：  </w:t>
            </w:r>
            <w:r>
              <w:rPr>
                <w:rFonts w:hint="eastAsia"/>
                <w:highlight w:val="none"/>
                <w:lang w:val="en-US" w:eastAsia="zh-CN"/>
              </w:rPr>
              <w:t xml:space="preserve">                      </w:t>
            </w:r>
            <w:r>
              <w:rPr>
                <w:rFonts w:hint="eastAsia"/>
                <w:highlight w:val="none"/>
              </w:rPr>
              <w:t xml:space="preserve"> （举1例）</w:t>
            </w:r>
          </w:p>
          <w:p>
            <w:pPr>
              <w:shd w:val="clear" w:color="auto" w:fill="EBF1DE" w:themeFill="accent3" w:themeFillTint="32"/>
              <w:rPr>
                <w:rFonts w:hint="eastAsia"/>
                <w:highlight w:val="none"/>
              </w:rPr>
            </w:pPr>
            <w:r>
              <w:rPr>
                <w:rFonts w:hint="eastAsia"/>
                <w:highlight w:val="none"/>
              </w:rPr>
              <w:t>对该设计和开发的项目进行了节能评估，并制订了相应的控制措施。</w:t>
            </w:r>
          </w:p>
          <w:p>
            <w:pPr>
              <w:shd w:val="clear" w:color="auto" w:fill="EBF1DE" w:themeFill="accent3" w:themeFillTint="32"/>
              <w:rPr>
                <w:rFonts w:hint="eastAsia"/>
                <w:highlight w:val="none"/>
              </w:rPr>
            </w:pPr>
            <w:r>
              <w:rPr>
                <w:rFonts w:hint="eastAsia"/>
                <w:highlight w:val="none"/>
              </w:rPr>
              <w:t>设计和开发的节能措施控制：</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lang w:val="en-US" w:eastAsia="zh-CN"/>
              </w:rPr>
              <w:t>-------</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rPr>
                <w:rFonts w:hint="eastAsia"/>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A8"/>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主要能源使用</w:t>
                  </w:r>
                </w:p>
              </w:tc>
              <w:tc>
                <w:tcPr>
                  <w:tcW w:w="3665" w:type="dxa"/>
                </w:tcPr>
                <w:p>
                  <w:pPr>
                    <w:shd w:val="clear" w:color="auto" w:fill="EBF1DE" w:themeFill="accent3" w:themeFillTint="32"/>
                    <w:rPr>
                      <w:rFonts w:hint="eastAsia"/>
                      <w:highlight w:val="none"/>
                    </w:rPr>
                  </w:pPr>
                  <w:r>
                    <w:rPr>
                      <w:rFonts w:hint="eastAsia"/>
                      <w:highlight w:val="none"/>
                    </w:rPr>
                    <w:t>控制措施</w:t>
                  </w:r>
                </w:p>
              </w:tc>
              <w:tc>
                <w:tcPr>
                  <w:tcW w:w="3265" w:type="dxa"/>
                </w:tcPr>
                <w:p>
                  <w:pPr>
                    <w:shd w:val="clear" w:color="auto" w:fill="EBF1DE" w:themeFill="accent3" w:themeFillTint="32"/>
                    <w:rPr>
                      <w:rFonts w:hint="eastAsia"/>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电的消耗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其他</w:t>
                  </w:r>
                </w:p>
              </w:tc>
              <w:tc>
                <w:tcPr>
                  <w:tcW w:w="3665" w:type="dxa"/>
                </w:tcPr>
                <w:p>
                  <w:pPr>
                    <w:shd w:val="clear" w:color="auto" w:fill="EBF1DE" w:themeFill="accent3" w:themeFillTint="32"/>
                    <w:rPr>
                      <w:rFonts w:hint="eastAsia"/>
                      <w:highlight w:val="none"/>
                    </w:rPr>
                  </w:pPr>
                </w:p>
              </w:tc>
              <w:tc>
                <w:tcPr>
                  <w:tcW w:w="3265" w:type="dxa"/>
                </w:tcPr>
                <w:p>
                  <w:pPr>
                    <w:shd w:val="clear" w:color="auto" w:fill="EBF1DE" w:themeFill="accent3" w:themeFillTint="32"/>
                    <w:rPr>
                      <w:rFonts w:hint="eastAsia"/>
                      <w:highlight w:val="none"/>
                    </w:rPr>
                  </w:pP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rFonts w:hint="eastAsia"/>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rFonts w:hint="eastAsia"/>
                <w:highlight w:val="none"/>
              </w:rPr>
            </w:pPr>
            <w:r>
              <w:rPr>
                <w:rFonts w:hint="eastAsia"/>
                <w:highlight w:val="none"/>
              </w:rPr>
              <w:t>组织已分析和评价通过监视和测量获得的适当的数据和信息。</w:t>
            </w:r>
          </w:p>
          <w:p>
            <w:pPr>
              <w:shd w:val="clear" w:color="auto" w:fill="EBF1DE" w:themeFill="accent3" w:themeFillTint="32"/>
              <w:rPr>
                <w:rFonts w:hint="eastAsia"/>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定期（每年） ： </w:t>
            </w:r>
            <w:r>
              <w:rPr>
                <w:rFonts w:hint="eastAsia"/>
                <w:highlight w:val="none"/>
                <w:lang w:val="en-US" w:eastAsia="zh-CN"/>
              </w:rPr>
              <w:t>2021</w:t>
            </w:r>
            <w:r>
              <w:rPr>
                <w:rFonts w:hint="eastAsia"/>
                <w:highlight w:val="none"/>
              </w:rPr>
              <w:t xml:space="preserve">年 </w:t>
            </w:r>
            <w:r>
              <w:rPr>
                <w:rFonts w:hint="eastAsia"/>
                <w:highlight w:val="none"/>
                <w:lang w:val="en-US" w:eastAsia="zh-CN"/>
              </w:rPr>
              <w:t>3</w:t>
            </w:r>
            <w:r>
              <w:rPr>
                <w:rFonts w:hint="eastAsia"/>
                <w:highlight w:val="none"/>
              </w:rPr>
              <w:t xml:space="preserve"> 月 </w:t>
            </w:r>
            <w:r>
              <w:rPr>
                <w:rFonts w:hint="eastAsia"/>
                <w:highlight w:val="none"/>
                <w:lang w:val="en-US" w:eastAsia="zh-CN"/>
              </w:rPr>
              <w:t>10</w:t>
            </w:r>
            <w:r>
              <w:rPr>
                <w:rFonts w:hint="eastAsia"/>
                <w:highlight w:val="none"/>
              </w:rPr>
              <w:t xml:space="preserve"> 日</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特殊情况（法规变化）：       年   月   日</w:t>
            </w:r>
          </w:p>
          <w:p>
            <w:pPr>
              <w:shd w:val="clear" w:color="auto" w:fill="EBF1DE" w:themeFill="accent3" w:themeFillTint="32"/>
              <w:rPr>
                <w:rFonts w:hint="eastAsia"/>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rFonts w:hint="eastAsia"/>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 xml:space="preserve">《能效测试报告》编号：     </w:t>
            </w:r>
            <w:r>
              <w:rPr>
                <w:rFonts w:hint="eastAsia"/>
                <w:highlight w:val="none"/>
                <w:lang w:val="en-US" w:eastAsia="zh-CN"/>
              </w:rPr>
              <w:t>无</w:t>
            </w:r>
            <w:r>
              <w:rPr>
                <w:rFonts w:hint="eastAsia"/>
                <w:highlight w:val="none"/>
              </w:rPr>
              <w:t xml:space="preserve">                           。</w:t>
            </w:r>
          </w:p>
          <w:p>
            <w:pPr>
              <w:shd w:val="clear" w:color="auto" w:fill="EBF1DE" w:themeFill="accent3" w:themeFillTint="32"/>
              <w:rPr>
                <w:rFonts w:hint="eastAsia"/>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 xml:space="preserve">通过年度策划于  </w:t>
            </w:r>
            <w:r>
              <w:rPr>
                <w:rFonts w:hint="eastAsia"/>
                <w:highlight w:val="none"/>
                <w:lang w:val="en-US" w:eastAsia="zh-CN"/>
              </w:rPr>
              <w:t>2021</w:t>
            </w:r>
            <w:r>
              <w:rPr>
                <w:rFonts w:hint="eastAsia"/>
                <w:highlight w:val="none"/>
              </w:rPr>
              <w:t xml:space="preserve">  年</w:t>
            </w:r>
            <w:r>
              <w:rPr>
                <w:rFonts w:hint="eastAsia"/>
                <w:highlight w:val="none"/>
                <w:lang w:val="en-US" w:eastAsia="zh-CN"/>
              </w:rPr>
              <w:t>8</w:t>
            </w:r>
            <w:r>
              <w:rPr>
                <w:rFonts w:hint="eastAsia"/>
                <w:highlight w:val="none"/>
              </w:rPr>
              <w:t xml:space="preserve"> 月 </w:t>
            </w:r>
            <w:r>
              <w:rPr>
                <w:rFonts w:hint="eastAsia"/>
                <w:highlight w:val="none"/>
                <w:lang w:val="en-US" w:eastAsia="zh-CN"/>
              </w:rPr>
              <w:t>20-21</w:t>
            </w:r>
            <w:r>
              <w:rPr>
                <w:rFonts w:hint="eastAsia"/>
                <w:highlight w:val="none"/>
              </w:rPr>
              <w:t xml:space="preserve">  日实施了能源管理体系内部审核，对能源管理体系的符合性和有效性进行了审核。内审发现的 </w:t>
            </w:r>
            <w:r>
              <w:rPr>
                <w:rFonts w:hint="eastAsia"/>
                <w:highlight w:val="none"/>
                <w:lang w:val="en-US" w:eastAsia="zh-CN"/>
              </w:rPr>
              <w:t>0</w:t>
            </w:r>
            <w:r>
              <w:rPr>
                <w:rFonts w:hint="eastAsia"/>
                <w:highlight w:val="none"/>
              </w:rPr>
              <w:t xml:space="preserve"> 项不符合在本次审核前已完成整改。在公司内完成的这些审核是可信的。</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若是组织多场所/临时场所：（按照组织的实际情况选择）</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若是多班次操作：（按照组织的实际情况选择）</w:t>
            </w:r>
          </w:p>
          <w:p>
            <w:pPr>
              <w:shd w:val="clear" w:color="auto" w:fill="EBF1DE" w:themeFill="accent3" w:themeFillTint="32"/>
              <w:rPr>
                <w:rFonts w:hint="eastAsia"/>
                <w:highlight w:val="none"/>
              </w:rPr>
            </w:pPr>
            <w:bookmarkStart w:id="34" w:name="_GoBack"/>
            <w:bookmarkEnd w:id="34"/>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最高管理者已按策划的时间间隔，在  </w:t>
            </w:r>
            <w:r>
              <w:rPr>
                <w:rFonts w:hint="eastAsia"/>
                <w:highlight w:val="none"/>
                <w:lang w:val="en-US" w:eastAsia="zh-CN"/>
              </w:rPr>
              <w:t>2021</w:t>
            </w:r>
            <w:r>
              <w:rPr>
                <w:rFonts w:hint="eastAsia"/>
                <w:highlight w:val="none"/>
              </w:rPr>
              <w:t xml:space="preserve">  年 </w:t>
            </w:r>
            <w:r>
              <w:rPr>
                <w:rFonts w:hint="eastAsia"/>
                <w:highlight w:val="none"/>
                <w:lang w:val="en-US" w:eastAsia="zh-CN"/>
              </w:rPr>
              <w:t>8</w:t>
            </w:r>
            <w:r>
              <w:rPr>
                <w:rFonts w:hint="eastAsia"/>
                <w:highlight w:val="none"/>
              </w:rPr>
              <w:t xml:space="preserve"> 月</w:t>
            </w:r>
            <w:r>
              <w:rPr>
                <w:rFonts w:hint="eastAsia"/>
                <w:highlight w:val="none"/>
                <w:lang w:val="en-US" w:eastAsia="zh-CN"/>
              </w:rPr>
              <w:t>30</w:t>
            </w:r>
            <w:r>
              <w:rPr>
                <w:rFonts w:hint="eastAsia"/>
                <w:highlight w:val="none"/>
              </w:rPr>
              <w:t xml:space="preserve"> 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9D2BB7"/>
    <w:rsid w:val="0FD438BD"/>
    <w:rsid w:val="52196638"/>
    <w:rsid w:val="56F90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2</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2021-09-30T12:25:23Z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