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EO） </w:t>
            </w:r>
            <w:bookmarkEnd w:id="7"/>
            <w:r>
              <w:rPr>
                <w:rFonts w:hint="eastAsia"/>
                <w:b/>
                <w:szCs w:val="21"/>
              </w:rPr>
              <w:t>■再认证</w:t>
            </w:r>
            <w:bookmarkStart w:id="8" w:name="监督勾选"/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Q） </w:t>
            </w:r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河北龙巢消防技术服务有限公司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霍佩英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both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现场审核发现，提供的“外来文件清单”中的《消防给水及消火栓系统技术规范》仍为2014年版本；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>“职业健康安全法律法规清单”中的《中华人民共和国安全生产法》仍为2014年版本；“环境法律法规清单”中的《国家危险废物名录》仍为2016年版本，未及时更新。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1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A48E8"/>
    <w:rsid w:val="64AD4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376</Words>
  <Characters>492</Characters>
  <Lines>6</Lines>
  <Paragraphs>1</Paragraphs>
  <TotalTime>7</TotalTime>
  <ScaleCrop>false</ScaleCrop>
  <LinksUpToDate>false</LinksUpToDate>
  <CharactersWithSpaces>764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2021-09-28T03:59:09Z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