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北京燕美华服饰有限公司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0417-2020-QEO-2021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4" w:name="_GoBack" w:colFirst="1" w:colLast="3"/>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6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2437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2021-09-23T01:07:48Z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