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启源电气股份有限公司</w:t>
            </w:r>
            <w:bookmarkEnd w:id="0"/>
            <w:r>
              <w:rPr>
                <w:rFonts w:hint="eastAsia"/>
                <w:color w:val="000000"/>
                <w:sz w:val="24"/>
                <w:szCs w:val="24"/>
              </w:rPr>
              <w:t xml:space="preserve">                 陪同人员： 马媛媛</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张星</w:t>
            </w:r>
            <w:r>
              <w:rPr>
                <w:rFonts w:hint="eastAsia"/>
                <w:color w:val="000000"/>
                <w:sz w:val="24"/>
                <w:szCs w:val="24"/>
              </w:rPr>
              <w:t xml:space="preserve">             审核时间：</w:t>
            </w:r>
            <w:bookmarkStart w:id="2" w:name="审核日期"/>
            <w:r>
              <w:rPr>
                <w:color w:val="000000"/>
              </w:rPr>
              <w:t>2021年09月22日 上午至2021年09月22日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审核条款：4.1-4.4 5.2 5.3/6.1/6.2/6.3/7.1/7.5/8.1/8.3/8.5.1/9.1.2/9.2/9.3</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91130900347780085J</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生产、销售输配电设备、塑料制品、金属制品、电线电缆、高低开关柜、真空开关、铁构件、电力金具等</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铁构件（横担、抱箍、拉线棒）、电线电缆（资质许可范围内）的生产</w:t>
            </w:r>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生产</w:t>
            </w:r>
            <w:r>
              <w:rPr>
                <w:rFonts w:hint="eastAsia"/>
                <w:b/>
                <w:bCs/>
                <w:color w:val="000000"/>
                <w:szCs w:val="21"/>
              </w:rPr>
              <w:t>许可证》</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XK06-001-00748</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2023-11-04</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生产、销售输配电设备、塑料制品、金属制品、电线电缆、高低开关柜、真空开关、铁构件、电力金具等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3" w:name="注册地址"/>
            <w:r>
              <w:rPr>
                <w:sz w:val="21"/>
                <w:szCs w:val="21"/>
                <w:u w:val="single"/>
              </w:rPr>
              <w:t>河北省任丘市麻家坞镇刘家泊村村西</w:t>
            </w:r>
            <w:bookmarkEnd w:id="3"/>
            <w:r>
              <w:rPr>
                <w:color w:val="000000"/>
                <w:szCs w:val="21"/>
                <w:u w:val="single"/>
              </w:rPr>
              <w:t xml:space="preserve"> </w:t>
            </w:r>
          </w:p>
          <w:p>
            <w:pPr>
              <w:rPr>
                <w:color w:val="000000"/>
              </w:rPr>
            </w:pPr>
            <w:r>
              <w:rPr>
                <w:rFonts w:hint="eastAsia"/>
                <w:color w:val="000000"/>
              </w:rPr>
              <w:t>与《营业执照》和《</w:t>
            </w:r>
            <w:r>
              <w:rPr>
                <w:rFonts w:hint="eastAsia"/>
                <w:color w:val="000000"/>
                <w:lang w:val="en-US" w:eastAsia="zh-CN"/>
              </w:rPr>
              <w:t>生产</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sz w:val="21"/>
                <w:szCs w:val="21"/>
                <w:u w:val="single"/>
              </w:rPr>
              <w:t>河北省任丘市麻家坞镇刘家泊村村西</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rPr>
            </w:pPr>
            <w:r>
              <w:rPr>
                <w:rFonts w:hint="eastAsia"/>
                <w:color w:val="000000"/>
              </w:rPr>
              <w:t>生产/服务流程图：</w:t>
            </w:r>
          </w:p>
          <w:p>
            <w:pPr>
              <w:spacing w:line="360" w:lineRule="auto"/>
              <w:rPr>
                <w:rFonts w:hint="eastAsia"/>
              </w:rPr>
            </w:pPr>
            <w:r>
              <w:rPr>
                <w:rFonts w:hint="eastAsia"/>
              </w:rPr>
              <w:t>铁构件（横担、抱箍、拉线棒）的工艺流程：原材料切割→冲压钻孔→组装</w:t>
            </w:r>
            <w:r>
              <w:rPr>
                <w:rFonts w:hint="eastAsia"/>
                <w:lang w:eastAsia="zh-CN"/>
              </w:rPr>
              <w:t>（</w:t>
            </w:r>
            <w:r>
              <w:rPr>
                <w:rFonts w:hint="eastAsia"/>
                <w:lang w:val="en-US" w:eastAsia="zh-CN"/>
              </w:rPr>
              <w:t>焊接</w:t>
            </w:r>
            <w:r>
              <w:rPr>
                <w:rFonts w:hint="eastAsia"/>
                <w:lang w:eastAsia="zh-CN"/>
              </w:rPr>
              <w:t>）</w:t>
            </w:r>
            <w:r>
              <w:rPr>
                <w:rFonts w:hint="eastAsia"/>
              </w:rPr>
              <w:t>→镀锌→包装入库</w:t>
            </w:r>
            <w:r>
              <w:rPr>
                <w:rFonts w:hint="eastAsia"/>
                <w:lang w:val="en-US" w:eastAsia="zh-CN"/>
              </w:rPr>
              <w:t xml:space="preserve">    </w:t>
            </w:r>
          </w:p>
          <w:p>
            <w:pPr>
              <w:spacing w:line="360" w:lineRule="auto"/>
              <w:rPr>
                <w:color w:val="000000"/>
              </w:rPr>
            </w:pPr>
            <w:r>
              <w:rPr>
                <w:rFonts w:hint="eastAsia"/>
                <w:lang w:val="en-US" w:eastAsia="zh-CN"/>
              </w:rPr>
              <w:t>2</w:t>
            </w:r>
            <w:r>
              <w:rPr>
                <w:rFonts w:hint="eastAsia"/>
              </w:rPr>
              <w:t>、电线电缆的生产工艺流程：</w:t>
            </w:r>
            <w:r>
              <w:rPr>
                <w:rFonts w:hint="eastAsia"/>
                <w:lang w:val="en-US" w:eastAsia="zh-CN"/>
              </w:rPr>
              <w:t xml:space="preserve"> </w:t>
            </w:r>
            <w:r>
              <w:rPr>
                <w:rFonts w:hint="eastAsia"/>
              </w:rPr>
              <w:t>拉制—绞制—包覆（或绝缘挤出）—火花试验---紫外线交联---检验—包装—入库</w:t>
            </w:r>
            <w:r>
              <w:rPr>
                <w:rFonts w:hint="eastAsia"/>
                <w:lang w:val="en-US" w:eastAsia="zh-CN"/>
              </w:rPr>
              <w:t xml:space="preserve">      </w:t>
            </w:r>
            <w:bookmarkStart w:id="4" w:name="_GoBack"/>
            <w:bookmarkEnd w:id="4"/>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lang w:val="en-US" w:eastAsia="zh-CN"/>
              </w:rPr>
              <w:t>6</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9</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镀锌、 产品运输</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sym w:font="Wingdings" w:char="00A8"/>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质量为本,信誉至上，持续改进，争创一流，满足要求。</w:t>
            </w:r>
            <w:r>
              <w:rPr>
                <w:color w:val="000000"/>
                <w:szCs w:val="18"/>
                <w:u w:val="single"/>
              </w:rPr>
              <w:t xml:space="preserve">                                       </w:t>
            </w: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rFonts w:hint="eastAsia"/>
                <w:color w:val="000000"/>
                <w:szCs w:val="18"/>
                <w:u w:val="single"/>
              </w:rPr>
              <w:t>交货及时率90%以上；</w:t>
            </w:r>
            <w:r>
              <w:rPr>
                <w:rFonts w:hint="eastAsia"/>
                <w:color w:val="000000"/>
                <w:szCs w:val="18"/>
                <w:u w:val="single"/>
                <w:lang w:val="en-US" w:eastAsia="zh-CN"/>
              </w:rPr>
              <w:t xml:space="preserve">2) </w:t>
            </w:r>
            <w:r>
              <w:rPr>
                <w:rFonts w:hint="eastAsia"/>
                <w:color w:val="000000"/>
                <w:szCs w:val="18"/>
                <w:u w:val="single"/>
              </w:rPr>
              <w:t>相关方满意度90%以上。</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ind w:firstLine="210" w:firstLineChars="100"/>
                    <w:jc w:val="left"/>
                    <w:rPr>
                      <w:color w:val="000000"/>
                      <w:szCs w:val="18"/>
                      <w:highlight w:val="cyan"/>
                    </w:rPr>
                  </w:pPr>
                  <w:r>
                    <w:rPr>
                      <w:rFonts w:hint="eastAsia"/>
                      <w:color w:val="000000"/>
                      <w:szCs w:val="18"/>
                      <w:u w:val="none"/>
                    </w:rPr>
                    <w:t>交货及时率90%以上</w:t>
                  </w:r>
                </w:p>
              </w:tc>
              <w:tc>
                <w:tcPr>
                  <w:tcW w:w="1387" w:type="dxa"/>
                </w:tcPr>
                <w:p>
                  <w:pPr>
                    <w:widowControl/>
                    <w:spacing w:before="40"/>
                    <w:jc w:val="left"/>
                    <w:rPr>
                      <w:rFonts w:hint="default" w:eastAsia="宋体"/>
                      <w:color w:val="000000"/>
                      <w:szCs w:val="18"/>
                      <w:highlight w:val="cyan"/>
                      <w:lang w:val="en-US" w:eastAsia="zh-CN"/>
                    </w:rPr>
                  </w:pPr>
                  <w:r>
                    <w:rPr>
                      <w:rFonts w:hint="eastAsia"/>
                      <w:color w:val="000000"/>
                      <w:szCs w:val="18"/>
                      <w:u w:val="none"/>
                      <w:lang w:val="en-US" w:eastAsia="zh-CN"/>
                    </w:rPr>
                    <w:t>季度</w:t>
                  </w:r>
                </w:p>
              </w:tc>
              <w:tc>
                <w:tcPr>
                  <w:tcW w:w="3499" w:type="dxa"/>
                  <w:vAlign w:val="top"/>
                </w:tcPr>
                <w:p>
                  <w:pPr>
                    <w:rPr>
                      <w:color w:val="000000"/>
                      <w:szCs w:val="18"/>
                      <w:highlight w:val="cyan"/>
                    </w:rPr>
                  </w:pPr>
                  <w:r>
                    <w:rPr>
                      <w:rFonts w:hint="eastAsia" w:ascii="宋体" w:hAnsi="宋体" w:cs="宋体"/>
                      <w:sz w:val="24"/>
                      <w:lang w:val="en-US" w:eastAsia="zh-CN"/>
                    </w:rPr>
                    <w:t>按时交付的订单的数量/需要交付订单的数量*100%</w:t>
                  </w:r>
                </w:p>
              </w:tc>
              <w:tc>
                <w:tcPr>
                  <w:tcW w:w="2444" w:type="dxa"/>
                </w:tcPr>
                <w:p>
                  <w:pPr>
                    <w:rPr>
                      <w:rFonts w:hint="default" w:ascii="宋体" w:hAnsi="宋体" w:cs="宋体"/>
                      <w:sz w:val="24"/>
                      <w:lang w:val="en-US" w:eastAsia="zh-CN"/>
                    </w:rPr>
                  </w:pPr>
                  <w:r>
                    <w:rPr>
                      <w:rFonts w:hint="eastAsia" w:ascii="宋体" w:hAnsi="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u w:val="none"/>
                    </w:rPr>
                    <w:t>相关方满意度90%以上</w:t>
                  </w: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u w:val="none"/>
                      <w:lang w:val="en-US" w:eastAsia="zh-CN"/>
                    </w:rPr>
                    <w:t>季度</w:t>
                  </w:r>
                </w:p>
              </w:tc>
              <w:tc>
                <w:tcPr>
                  <w:tcW w:w="3499" w:type="dxa"/>
                  <w:vAlign w:val="top"/>
                </w:tcPr>
                <w:p>
                  <w:pPr>
                    <w:widowControl/>
                    <w:spacing w:before="40"/>
                    <w:jc w:val="left"/>
                    <w:rPr>
                      <w:color w:val="000000"/>
                      <w:szCs w:val="18"/>
                      <w:highlight w:val="cyan"/>
                    </w:rPr>
                  </w:pPr>
                  <w:r>
                    <w:rPr>
                      <w:rFonts w:hint="eastAsia" w:ascii="宋体" w:hAnsi="宋体" w:cs="宋体"/>
                      <w:sz w:val="24"/>
                      <w:lang w:val="en-US" w:eastAsia="zh-CN"/>
                    </w:rPr>
                    <w:t>满意的顾客数/顾客总数*100%</w:t>
                  </w:r>
                </w:p>
              </w:tc>
              <w:tc>
                <w:tcPr>
                  <w:tcW w:w="2444" w:type="dxa"/>
                </w:tcPr>
                <w:p>
                  <w:pPr>
                    <w:widowControl/>
                    <w:spacing w:before="40"/>
                    <w:jc w:val="left"/>
                    <w:rPr>
                      <w:rFonts w:hint="default" w:eastAsia="宋体"/>
                      <w:color w:val="000000"/>
                      <w:szCs w:val="18"/>
                      <w:highlight w:val="cyan"/>
                      <w:lang w:val="en-US" w:eastAsia="zh-CN"/>
                    </w:rPr>
                  </w:pPr>
                  <w:r>
                    <w:rPr>
                      <w:rFonts w:hint="eastAsia" w:ascii="宋体" w:hAnsi="宋体" w:cs="宋体"/>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18</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16</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22</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rPr>
              <w:t>生产是依据顾客提供相关技术协议要求并引用国家相关标准进行生产，合同订单、顾客要求、经营销售服务方式、包装要求、产品接收准则、生产加工过程、工艺文件、作业指导书、人员及监测要求等体系运行以来均未发生变化，故无设计开发的相关信息记录，故8.3条款不适用。</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焊接</w:t>
            </w:r>
            <w:r>
              <w:rPr>
                <w:color w:val="000000"/>
                <w:u w:val="single"/>
              </w:rPr>
              <w:t xml:space="preserve"> </w:t>
            </w:r>
            <w:r>
              <w:rPr>
                <w:rFonts w:hint="eastAsia"/>
                <w:color w:val="000000"/>
                <w:u w:val="single"/>
                <w:lang w:eastAsia="zh-CN"/>
              </w:rPr>
              <w:t>、</w:t>
            </w:r>
            <w:r>
              <w:rPr>
                <w:color w:val="000000"/>
                <w:u w:val="single"/>
              </w:rPr>
              <w:t xml:space="preserve"> </w:t>
            </w:r>
            <w:r>
              <w:rPr>
                <w:rFonts w:hint="eastAsia"/>
                <w:color w:val="000000"/>
                <w:u w:val="single"/>
              </w:rPr>
              <w:t>包覆（或绝缘挤出</w:t>
            </w:r>
            <w:r>
              <w:rPr>
                <w:rFonts w:hint="eastAsia"/>
                <w:color w:val="000000"/>
                <w:u w:val="single"/>
                <w:lang w:eastAsia="zh-CN"/>
              </w:rPr>
              <w:t>）</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rFonts w:hint="eastAsia"/>
                <w:color w:val="000000"/>
                <w:u w:val="single"/>
                <w:lang w:val="en-US" w:eastAsia="zh-CN"/>
              </w:rPr>
              <w:t>尺寸、外观、质量、</w:t>
            </w:r>
            <w:r>
              <w:rPr>
                <w:rFonts w:hint="eastAsia"/>
                <w:color w:val="000000"/>
                <w:u w:val="single"/>
              </w:rPr>
              <w:t xml:space="preserve"> </w:t>
            </w:r>
            <w:r>
              <w:rPr>
                <w:rFonts w:hint="eastAsia"/>
                <w:color w:val="000000"/>
                <w:u w:val="single"/>
                <w:lang w:val="en-US" w:eastAsia="zh-CN"/>
              </w:rPr>
              <w:t>温度控制</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焊接、</w:t>
            </w:r>
            <w:r>
              <w:rPr>
                <w:color w:val="000000"/>
                <w:u w:val="single"/>
              </w:rPr>
              <w:t xml:space="preserve"> </w:t>
            </w:r>
            <w:r>
              <w:rPr>
                <w:rFonts w:hint="eastAsia"/>
                <w:u w:val="single"/>
              </w:rPr>
              <w:t>绝缘挤出</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A3"/>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w:t>
            </w:r>
            <w:r>
              <w:rPr>
                <w:rFonts w:hint="eastAsia"/>
                <w:color w:val="000000"/>
                <w:szCs w:val="21"/>
              </w:rPr>
              <w:sym w:font="Wingdings 2" w:char="0052"/>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color w:val="000000"/>
                <w:u w:val="single"/>
              </w:rPr>
              <w:t xml:space="preserve">  </w:t>
            </w:r>
            <w:r>
              <w:rPr>
                <w:rFonts w:hint="eastAsia"/>
                <w:color w:val="000000"/>
                <w:u w:val="single"/>
                <w:lang w:val="en-US" w:eastAsia="zh-CN"/>
              </w:rPr>
              <w:t>顾客满意度达到98%</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A3"/>
            </w: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w:t>
            </w:r>
            <w:r>
              <w:rPr>
                <w:rFonts w:hint="eastAsia"/>
                <w:color w:val="000000"/>
                <w:szCs w:val="21"/>
              </w:rPr>
              <w:t>（生产设备），主要有</w:t>
            </w:r>
            <w:r>
              <w:rPr>
                <w:rFonts w:hint="eastAsia"/>
                <w:color w:val="000000"/>
                <w:u w:val="single"/>
              </w:rPr>
              <w:t xml:space="preserve"> </w:t>
            </w:r>
            <w:r>
              <w:rPr>
                <w:color w:val="000000"/>
                <w:u w:val="single"/>
              </w:rPr>
              <w:t xml:space="preserve"> </w:t>
            </w:r>
            <w:r>
              <w:rPr>
                <w:rFonts w:hint="eastAsia"/>
                <w:color w:val="000000"/>
                <w:u w:val="single"/>
              </w:rPr>
              <w:t>冲床</w:t>
            </w:r>
            <w:r>
              <w:rPr>
                <w:rFonts w:hint="eastAsia"/>
                <w:color w:val="000000"/>
                <w:u w:val="single"/>
                <w:lang w:eastAsia="zh-CN"/>
              </w:rPr>
              <w:t>、</w:t>
            </w:r>
            <w:r>
              <w:rPr>
                <w:rFonts w:hint="eastAsia"/>
                <w:color w:val="000000"/>
                <w:u w:val="single"/>
              </w:rPr>
              <w:t>钻床</w:t>
            </w:r>
            <w:r>
              <w:rPr>
                <w:rFonts w:hint="eastAsia"/>
                <w:color w:val="000000"/>
                <w:u w:val="single"/>
                <w:lang w:eastAsia="zh-CN"/>
              </w:rPr>
              <w:t>、</w:t>
            </w:r>
            <w:r>
              <w:rPr>
                <w:rFonts w:hint="eastAsia"/>
                <w:color w:val="000000"/>
                <w:u w:val="single"/>
              </w:rPr>
              <w:t>切割机</w:t>
            </w:r>
            <w:r>
              <w:rPr>
                <w:rFonts w:hint="eastAsia"/>
                <w:color w:val="000000"/>
                <w:u w:val="single"/>
                <w:lang w:eastAsia="zh-CN"/>
              </w:rPr>
              <w:t>、</w:t>
            </w:r>
            <w:r>
              <w:rPr>
                <w:rFonts w:hint="eastAsia"/>
                <w:color w:val="000000"/>
                <w:u w:val="single"/>
              </w:rPr>
              <w:t>电缆挤出生产线</w:t>
            </w:r>
            <w:r>
              <w:rPr>
                <w:rFonts w:hint="eastAsia"/>
                <w:color w:val="000000"/>
                <w:u w:val="single"/>
                <w:lang w:eastAsia="zh-CN"/>
              </w:rPr>
              <w:t>、</w:t>
            </w:r>
            <w:r>
              <w:rPr>
                <w:rFonts w:hint="eastAsia"/>
                <w:color w:val="000000"/>
                <w:u w:val="single"/>
              </w:rPr>
              <w:t>管绞机</w:t>
            </w:r>
            <w:r>
              <w:rPr>
                <w:rFonts w:hint="eastAsia"/>
                <w:color w:val="000000"/>
                <w:u w:val="single"/>
                <w:lang w:eastAsia="zh-CN"/>
              </w:rPr>
              <w:t>、</w:t>
            </w:r>
            <w:r>
              <w:rPr>
                <w:rFonts w:hint="eastAsia"/>
                <w:color w:val="000000"/>
                <w:u w:val="single"/>
              </w:rPr>
              <w:t>框绞机</w:t>
            </w:r>
            <w:r>
              <w:rPr>
                <w:rFonts w:hint="eastAsia"/>
                <w:color w:val="000000"/>
                <w:u w:val="single"/>
                <w:lang w:val="en-US" w:eastAsia="zh-CN"/>
              </w:rPr>
              <w:t>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30E8C"/>
    <w:rsid w:val="26C27ED4"/>
    <w:rsid w:val="294D797E"/>
    <w:rsid w:val="2ADE4653"/>
    <w:rsid w:val="323B0B0E"/>
    <w:rsid w:val="408832A4"/>
    <w:rsid w:val="47B01321"/>
    <w:rsid w:val="523610AD"/>
    <w:rsid w:val="561F0979"/>
    <w:rsid w:val="58D9648F"/>
    <w:rsid w:val="691B764A"/>
    <w:rsid w:val="6A302FA8"/>
    <w:rsid w:val="79A80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28</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2021-09-27T05:39:45Z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