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240" w:lineRule="auto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pacing w:line="240" w:lineRule="auto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203"/>
        <w:gridCol w:w="980"/>
        <w:gridCol w:w="820"/>
        <w:gridCol w:w="867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7" w:hRule="atLeast"/>
          <w:jc w:val="center"/>
        </w:trPr>
        <w:tc>
          <w:tcPr>
            <w:tcW w:w="211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462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四川兴千载科技有限公司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40" w:lineRule="auto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Q:29.12.00,33.02.03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28.08.02,</w:t>
            </w:r>
          </w:p>
          <w:p>
            <w:pPr>
              <w:spacing w:line="24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E:29.12.00,33.02.03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28.08.02,</w:t>
            </w:r>
          </w:p>
          <w:p>
            <w:pPr>
              <w:snapToGrid w:val="0"/>
              <w:spacing w:line="240" w:lineRule="auto"/>
              <w:ind w:left="52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sz w:val="21"/>
                <w:szCs w:val="21"/>
              </w:rPr>
              <w:t>O:29.12.00,33.02.03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28.08.02,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112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黄晓群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203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8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82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867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0" w:hRule="atLeast"/>
          <w:jc w:val="center"/>
        </w:trPr>
        <w:tc>
          <w:tcPr>
            <w:tcW w:w="21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561" w:type="dxa"/>
            <w:gridSpan w:val="9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销售流程：接到客户业务咨询（资料图纸）→与供应商前期沟通→签订合同（支付预付款）→安排生产（制造）→产品入库（供应商）→物流安排（供应商）→提货、交货、验货（支付余款）→清算、交易结束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技术服务流程：接到客户需求→与技术部前期沟通→签订合同（支付预付款）→拟定工作表→周期进度安排实施→提供勘察成果资料、规划文本、电子图片、视频（支付余款）→清算、交易结束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家具安装流程：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接到客户业务咨询（资料图纸）→与供应商前期沟通→签订合同（支付预付款）→物流安排（供应商）→安排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安装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→清算、交易结束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  <w:jc w:val="center"/>
        </w:trPr>
        <w:tc>
          <w:tcPr>
            <w:tcW w:w="21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40" w:lineRule="auto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561" w:type="dxa"/>
            <w:gridSpan w:val="9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安装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过程存在风险有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安装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紧固度、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功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能等不合格，采取拟定作业指导书和检验标准进行控制。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服务和销售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过程中存在火灾、触电伤害风险；采取管理方案和应急预案进行控制；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1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561" w:type="dxa"/>
            <w:gridSpan w:val="9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重要环境因素：潜在火灾、固体废弃（含危废）物排放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控制措施：环境管理方案、运行控制程序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1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561" w:type="dxa"/>
            <w:gridSpan w:val="9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不可接受风险：潜在火灾、触电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控制措施：危险源管理方案、运行控制程序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1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561" w:type="dxa"/>
            <w:gridSpan w:val="9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中华人民共和国合同法、中华人民共和国产品质量法、中华人民共和国消费者权益法、中华人民共和国环境保护法</w:t>
            </w:r>
            <w:r>
              <w:rPr>
                <w:rFonts w:hint="eastAsia"/>
                <w:b/>
                <w:sz w:val="20"/>
                <w:lang w:eastAsia="zh-CN"/>
              </w:rPr>
              <w:t>、中华人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民共和国安全生产法、中华人民共和国环境影响评价法、中华人民共和国消防法、中华人民共和国职业病防治法、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家具力学性能试验 椅、凳类稳定性GB/T 10357.2-1989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家具 桌、椅、凳类主要尺寸GB/T 3326-1997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《中华人民共和国文物保护法》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《非物质文化遗产法》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1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561" w:type="dxa"/>
            <w:gridSpan w:val="9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  <w:r>
              <w:rPr>
                <w:rFonts w:hint="eastAsia"/>
                <w:b/>
                <w:sz w:val="20"/>
              </w:rPr>
              <w:t>型式检验和试验项目及要求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1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561" w:type="dxa"/>
            <w:gridSpan w:val="9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1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672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2021.9.18</w:t>
            </w:r>
            <w:bookmarkStart w:id="8" w:name="_GoBack"/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112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672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163830</wp:posOffset>
                  </wp:positionV>
                  <wp:extent cx="757555" cy="334645"/>
                  <wp:effectExtent l="0" t="0" r="4445" b="825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3397" b="5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33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2021.9.18</w:t>
            </w:r>
          </w:p>
        </w:tc>
      </w:tr>
    </w:tbl>
    <w:p>
      <w:pPr>
        <w:snapToGrid w:val="0"/>
        <w:spacing w:line="240" w:lineRule="auto"/>
        <w:rPr>
          <w:rFonts w:ascii="宋体"/>
          <w:b/>
          <w:sz w:val="22"/>
          <w:szCs w:val="22"/>
        </w:rPr>
      </w:pPr>
    </w:p>
    <w:p>
      <w:pPr>
        <w:snapToGrid w:val="0"/>
        <w:spacing w:line="240" w:lineRule="auto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2050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B6C4A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2021-09-18T03:25:07Z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