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成都脉通管业有限公司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伏凯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2021年12月17日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现场</w:t>
            </w:r>
            <w:r>
              <w:rPr>
                <w:rFonts w:hint="eastAsia"/>
                <w:b/>
                <w:bCs/>
                <w:lang w:val="en-US" w:eastAsia="zh-CN"/>
              </w:rPr>
              <w:t>审核发现配料工序员工正在配料作业</w:t>
            </w:r>
            <w:r>
              <w:rPr>
                <w:rFonts w:hint="eastAsia" w:eastAsia="宋体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但</w:t>
            </w:r>
            <w:r>
              <w:rPr>
                <w:rFonts w:hint="eastAsia" w:eastAsia="宋体"/>
                <w:b/>
                <w:bCs/>
                <w:lang w:eastAsia="zh-CN"/>
              </w:rPr>
              <w:t>粉尘除尘器</w:t>
            </w:r>
            <w:r>
              <w:rPr>
                <w:rFonts w:hint="eastAsia"/>
                <w:b/>
                <w:bCs/>
                <w:lang w:val="en-US" w:eastAsia="zh-CN"/>
              </w:rPr>
              <w:t>未</w:t>
            </w:r>
            <w:r>
              <w:rPr>
                <w:rFonts w:hint="eastAsia" w:eastAsia="宋体"/>
                <w:b/>
                <w:bCs/>
                <w:lang w:eastAsia="zh-CN"/>
              </w:rPr>
              <w:t>运行，</w:t>
            </w:r>
            <w:r>
              <w:rPr>
                <w:rFonts w:hint="eastAsia"/>
                <w:b/>
                <w:bCs/>
                <w:lang w:val="en-US" w:eastAsia="zh-CN"/>
              </w:rPr>
              <w:t>不符合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GB/T24001-2016</w:t>
            </w:r>
            <w:r>
              <w:rPr>
                <w:rFonts w:hint="eastAsia" w:eastAsia="宋体"/>
                <w:b/>
                <w:bCs/>
                <w:lang w:eastAsia="zh-CN"/>
              </w:rPr>
              <w:t>标准</w:t>
            </w:r>
            <w:r>
              <w:rPr>
                <w:rFonts w:hint="eastAsia"/>
                <w:b/>
                <w:bCs/>
                <w:lang w:val="en-US" w:eastAsia="zh-CN"/>
              </w:rPr>
              <w:t>E8.1条款“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组织应建立、实施、控制并保持满足环境管理体系要求以及实施 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6.1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和 </w:t>
            </w:r>
            <w:r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6.2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所识别的措施所需的过程，通过：——按照运行准则实施过程控制。</w:t>
            </w:r>
            <w:r>
              <w:rPr>
                <w:rFonts w:hint="eastAsia"/>
                <w:b/>
                <w:bCs/>
                <w:lang w:val="en-US" w:eastAsia="zh-CN"/>
              </w:rPr>
              <w:t>”的要求</w:t>
            </w:r>
            <w:r>
              <w:rPr>
                <w:rFonts w:hint="eastAsia" w:eastAsia="宋体"/>
                <w:b/>
                <w:bCs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2570480</wp:posOffset>
                  </wp:positionH>
                  <wp:positionV relativeFrom="paragraph">
                    <wp:posOffset>177165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168275</wp:posOffset>
                  </wp:positionV>
                  <wp:extent cx="812165" cy="275590"/>
                  <wp:effectExtent l="0" t="0" r="10795" b="1397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审核组长：             受审核方代表：</w:t>
            </w:r>
            <w:bookmarkStart w:id="15" w:name="_GoBack"/>
            <w:bookmarkEnd w:id="15"/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BB036A"/>
    <w:rsid w:val="1BCD38C1"/>
    <w:rsid w:val="203211B0"/>
    <w:rsid w:val="6F4778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2021-12-15T07:53:19Z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