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0969-2021-QEO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西藏芯点信息科技有限公司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西藏芯点信息科技有限公司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西藏拉萨市柳梧新区高新区柳南大道（栖创路）15号A座8层803</w:t>
            </w:r>
            <w:bookmarkEnd w:id="6"/>
          </w:p>
        </w:tc>
        <w:tc>
          <w:tcPr>
            <w:tcW w:w="1242" w:type="dxa"/>
            <w:vMerge w:val="restart"/>
            <w:vAlign w:val="center"/>
          </w:tcPr>
          <w:p>
            <w:r>
              <w:rPr>
                <w:rFonts w:hint="eastAsia"/>
              </w:rPr>
              <w:t>邮编</w:t>
            </w:r>
          </w:p>
        </w:tc>
        <w:tc>
          <w:tcPr>
            <w:tcW w:w="1771" w:type="dxa"/>
          </w:tcPr>
          <w:p>
            <w:bookmarkStart w:id="7" w:name="注册邮编"/>
            <w:r>
              <w:t>850000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西藏拉萨市柳梧新区高新区柳南大道（栖创路）15号A座8层803</w:t>
            </w:r>
            <w:bookmarkEnd w:id="8"/>
          </w:p>
        </w:tc>
        <w:tc>
          <w:tcPr>
            <w:tcW w:w="1242" w:type="dxa"/>
            <w:vMerge w:val="continue"/>
            <w:vAlign w:val="center"/>
          </w:tcPr>
          <w:p/>
        </w:tc>
        <w:tc>
          <w:tcPr>
            <w:tcW w:w="1771" w:type="dxa"/>
          </w:tcPr>
          <w:p>
            <w:bookmarkStart w:id="9" w:name="办公邮编"/>
            <w:r>
              <w:t>850000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张浩</w:t>
            </w:r>
            <w:bookmarkEnd w:id="10"/>
          </w:p>
        </w:tc>
        <w:tc>
          <w:tcPr>
            <w:tcW w:w="1313" w:type="dxa"/>
            <w:vAlign w:val="center"/>
          </w:tcPr>
          <w:p>
            <w:r>
              <w:rPr>
                <w:rFonts w:hint="eastAsia"/>
              </w:rPr>
              <w:t>电话.</w:t>
            </w:r>
          </w:p>
        </w:tc>
        <w:tc>
          <w:tcPr>
            <w:tcW w:w="2180" w:type="dxa"/>
            <w:vAlign w:val="center"/>
          </w:tcPr>
          <w:p>
            <w:bookmarkStart w:id="11" w:name="联系人电话"/>
            <w:r>
              <w:t>17789077598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徐小康</w:t>
            </w:r>
            <w:bookmarkEnd w:id="13"/>
          </w:p>
        </w:tc>
        <w:tc>
          <w:tcPr>
            <w:tcW w:w="1313" w:type="dxa"/>
            <w:vAlign w:val="center"/>
          </w:tcPr>
          <w:p>
            <w:r>
              <w:rPr>
                <w:rFonts w:hint="eastAsia"/>
              </w:rPr>
              <w:t>管理者代表</w:t>
            </w:r>
          </w:p>
        </w:tc>
        <w:tc>
          <w:tcPr>
            <w:tcW w:w="2180" w:type="dxa"/>
          </w:tcPr>
          <w:p>
            <w:bookmarkStart w:id="14" w:name="管理者代表"/>
            <w:r>
              <w:t>张浩</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76495" cy="692150"/>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6495" cy="692150"/>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2021年09月15日 下午至2021年09月18日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Q：计算机软硬件及电子产品的销售</w:t>
            </w:r>
          </w:p>
          <w:p>
            <w:r>
              <w:t>E：计算机软硬件及电子产品的销售所涉及场所的相关环境管理活动</w:t>
            </w:r>
          </w:p>
          <w:p>
            <w:r>
              <w:t>O：计算机软硬件及电子产品的销售所涉及场所的相关职业健康安全管理活动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51"/>
        <w:gridCol w:w="19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sz w:val="21"/>
                <w:szCs w:val="21"/>
                <w:lang w:eastAsia="zh-CN"/>
              </w:rPr>
            </w:pPr>
            <w:r>
              <w:rPr>
                <w:rFonts w:eastAsia="黑体" w:cs="Arial"/>
                <w:sz w:val="21"/>
                <w:szCs w:val="21"/>
                <w:lang w:eastAsia="zh-CN"/>
              </w:rPr>
              <w:t>场所编号</w:t>
            </w:r>
          </w:p>
          <w:p>
            <w:pPr>
              <w:pStyle w:val="20"/>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551" w:type="dxa"/>
            <w:shd w:val="clear" w:color="auto" w:fill="F3F3F3"/>
            <w:tcMar>
              <w:left w:w="57" w:type="dxa"/>
              <w:right w:w="57" w:type="dxa"/>
            </w:tcMar>
          </w:tcPr>
          <w:p>
            <w:pPr>
              <w:pStyle w:val="20"/>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0"/>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21" w:type="dxa"/>
            <w:shd w:val="clear" w:color="auto" w:fill="F3F3F3"/>
            <w:tcMar>
              <w:left w:w="57" w:type="dxa"/>
              <w:right w:w="57" w:type="dxa"/>
            </w:tcMar>
          </w:tcPr>
          <w:p>
            <w:pPr>
              <w:pStyle w:val="20"/>
              <w:spacing w:before="0" w:after="0"/>
              <w:ind w:firstLine="632" w:firstLineChars="30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pStyle w:val="21"/>
              <w:rPr>
                <w:rFonts w:hint="eastAsia" w:ascii="Times New Roman" w:hAnsi="Times New Roman" w:eastAsia="Times New Roman" w:cs="Times New Roman"/>
                <w:color w:val="000000"/>
                <w:szCs w:val="21"/>
                <w:u w:val="single"/>
                <w:lang w:val="en-US" w:eastAsia="zh-CN"/>
              </w:rPr>
            </w:pPr>
            <w:r>
              <w:rPr>
                <w:rFonts w:hint="eastAsia" w:ascii="Times New Roman" w:hAnsi="Times New Roman" w:eastAsia="Times New Roman" w:cs="Times New Roman"/>
                <w:color w:val="000000"/>
                <w:szCs w:val="21"/>
                <w:u w:val="single"/>
              </w:rPr>
              <w:t>西藏芯点信息科技有限公司</w:t>
            </w:r>
            <w:r>
              <w:rPr>
                <w:rFonts w:hint="eastAsia" w:ascii="Times New Roman" w:hAnsi="Times New Roman" w:eastAsia="Times New Roman" w:cs="Times New Roman"/>
                <w:color w:val="000000"/>
                <w:szCs w:val="21"/>
                <w:u w:val="single"/>
                <w:lang w:val="en-US" w:eastAsia="zh-CN"/>
              </w:rPr>
              <w:t>/</w:t>
            </w:r>
            <w:r>
              <w:rPr>
                <w:rFonts w:hint="eastAsia" w:ascii="Times New Roman" w:hAnsi="Times New Roman" w:eastAsia="Times New Roman" w:cs="Times New Roman"/>
                <w:color w:val="000000"/>
                <w:szCs w:val="21"/>
                <w:u w:val="single"/>
              </w:rPr>
              <w:t>西藏拉萨市柳梧新区高新区柳南大道（栖创路）15号A座8层803</w:t>
            </w:r>
          </w:p>
        </w:tc>
        <w:tc>
          <w:tcPr>
            <w:tcW w:w="2267" w:type="dxa"/>
          </w:tcPr>
          <w:p>
            <w:pPr>
              <w:pStyle w:val="21"/>
              <w:rPr>
                <w:rFonts w:hint="eastAsia" w:ascii="Times New Roman" w:hAnsi="Times New Roman" w:eastAsia="Times New Roman" w:cs="Times New Roman"/>
                <w:color w:val="000000"/>
                <w:szCs w:val="21"/>
                <w:u w:val="single"/>
                <w:lang w:val="de-DE" w:eastAsia="ja-JP"/>
              </w:rPr>
            </w:pPr>
            <w:r>
              <w:rPr>
                <w:rFonts w:hint="eastAsia" w:ascii="Times New Roman" w:hAnsi="Times New Roman" w:eastAsia="Times New Roman" w:cs="Times New Roman"/>
                <w:color w:val="000000"/>
                <w:szCs w:val="21"/>
                <w:u w:val="single"/>
              </w:rPr>
              <w:t>西藏拉萨市柳梧新区高新区柳南大道（栖创路）15号A座8层803</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9</w:t>
            </w:r>
          </w:p>
        </w:tc>
        <w:tc>
          <w:tcPr>
            <w:tcW w:w="1551" w:type="dxa"/>
            <w:vAlign w:val="center"/>
          </w:tcPr>
          <w:p>
            <w:pPr>
              <w:pStyle w:val="21"/>
              <w:rPr>
                <w:rFonts w:eastAsia="黑体" w:cs="Arial"/>
                <w:sz w:val="21"/>
                <w:szCs w:val="21"/>
                <w:lang w:val="en-US" w:eastAsia="ja-JP"/>
              </w:rPr>
            </w:pPr>
            <w:r>
              <w:rPr>
                <w:rFonts w:hint="eastAsia"/>
                <w:color w:val="000000"/>
                <w:szCs w:val="21"/>
                <w:u w:val="single"/>
              </w:rPr>
              <w:t>计算机软硬件及电子产品的销售</w:t>
            </w:r>
          </w:p>
        </w:tc>
        <w:tc>
          <w:tcPr>
            <w:tcW w:w="1921" w:type="dxa"/>
            <w:vAlign w:val="center"/>
          </w:tcPr>
          <w:p>
            <w:pPr>
              <w:pStyle w:val="21"/>
              <w:rPr>
                <w:rFonts w:hint="eastAsia" w:ascii="Times New Roman" w:hAnsi="Times New Roman" w:eastAsia="Times New Roman" w:cs="Times New Roman"/>
                <w:color w:val="000000"/>
                <w:szCs w:val="21"/>
                <w:u w:val="single"/>
                <w:lang w:val="de-DE"/>
              </w:rPr>
            </w:pPr>
            <w:r>
              <w:rPr>
                <w:rFonts w:hint="eastAsia" w:ascii="Times New Roman" w:hAnsi="Times New Roman" w:eastAsia="Times New Roman" w:cs="Times New Roman"/>
                <w:color w:val="000000"/>
                <w:szCs w:val="21"/>
                <w:u w:val="single"/>
                <w:lang w:val="de-DE"/>
              </w:rPr>
              <w:t>GB/T19001-2016</w:t>
            </w:r>
          </w:p>
          <w:p>
            <w:pPr>
              <w:pStyle w:val="21"/>
              <w:rPr>
                <w:rFonts w:hint="eastAsia" w:ascii="Times New Roman" w:hAnsi="Times New Roman" w:eastAsia="Times New Roman" w:cs="Times New Roman"/>
                <w:color w:val="000000"/>
                <w:szCs w:val="21"/>
                <w:u w:val="single"/>
                <w:lang w:val="de-DE"/>
              </w:rPr>
            </w:pPr>
            <w:r>
              <w:rPr>
                <w:rFonts w:hint="eastAsia" w:ascii="Times New Roman" w:hAnsi="Times New Roman" w:eastAsia="Times New Roman" w:cs="Times New Roman"/>
                <w:color w:val="000000"/>
                <w:szCs w:val="21"/>
                <w:u w:val="single"/>
                <w:lang w:val="de-DE"/>
              </w:rPr>
              <w:t>GB/T24001-2016</w:t>
            </w:r>
          </w:p>
          <w:p>
            <w:pPr>
              <w:pStyle w:val="21"/>
              <w:rPr>
                <w:rFonts w:hint="eastAsia" w:ascii="Times New Roman" w:hAnsi="Times New Roman" w:eastAsia="Times New Roman" w:cs="Times New Roman"/>
                <w:color w:val="000000"/>
                <w:szCs w:val="21"/>
                <w:u w:val="single"/>
                <w:lang w:val="de-DE"/>
              </w:rPr>
            </w:pPr>
            <w:r>
              <w:rPr>
                <w:rFonts w:hint="eastAsia" w:ascii="Times New Roman" w:hAnsi="Times New Roman" w:eastAsia="Times New Roman" w:cs="Times New Roman"/>
                <w:color w:val="000000"/>
                <w:szCs w:val="21"/>
                <w:u w:val="single"/>
                <w:lang w:val="de-DE"/>
              </w:rPr>
              <w:t>ISO45001：2018</w:t>
            </w:r>
          </w:p>
          <w:p>
            <w:pPr>
              <w:pStyle w:val="21"/>
              <w:rPr>
                <w:rFonts w:hint="eastAsia" w:ascii="Times New Roman" w:hAnsi="Times New Roman" w:eastAsia="Times New Roman" w:cs="Times New Roman"/>
                <w:color w:val="000000"/>
                <w:szCs w:val="21"/>
                <w:u w:val="single"/>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2019-N1QMS-3072033</w:t>
            </w:r>
          </w:p>
          <w:p>
            <w:r>
              <w:t>2021-N1EMS-3072033</w:t>
            </w:r>
          </w:p>
          <w:p>
            <w:r>
              <w:t>2021-N1OHSMS-3072033</w:t>
            </w:r>
          </w:p>
        </w:tc>
        <w:tc>
          <w:tcPr>
            <w:tcW w:w="2179" w:type="dxa"/>
            <w:vAlign w:val="center"/>
          </w:tcPr>
          <w:p>
            <w:r>
              <w:t>Q:29.12.00</w:t>
            </w:r>
          </w:p>
          <w:p>
            <w:r>
              <w:t>E:29.12.00</w:t>
            </w:r>
          </w:p>
          <w:p>
            <w:r>
              <w:t>O:29.12.00</w:t>
            </w: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pPr>
              <w:rPr>
                <w:rFonts w:hint="eastAsia" w:eastAsia="宋体"/>
                <w:lang w:val="en-US" w:eastAsia="zh-CN"/>
              </w:rPr>
            </w:pPr>
          </w:p>
        </w:tc>
        <w:tc>
          <w:tcPr>
            <w:tcW w:w="1560" w:type="dxa"/>
            <w:vAlign w:val="top"/>
          </w:tcPr>
          <w:p>
            <w:pPr>
              <w:rPr>
                <w:rFonts w:ascii="Times New Roman" w:hAnsi="Times New Roman" w:eastAsia="宋体" w:cs="Times New Roman"/>
                <w:kern w:val="2"/>
                <w:sz w:val="21"/>
                <w:szCs w:val="24"/>
                <w:lang w:val="en-US" w:eastAsia="zh-CN" w:bidi="ar-SA"/>
              </w:rPr>
            </w:pP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9"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1" locked="0" layoutInCell="1" allowOverlap="1">
                  <wp:simplePos x="0" y="0"/>
                  <wp:positionH relativeFrom="column">
                    <wp:posOffset>877570</wp:posOffset>
                  </wp:positionH>
                  <wp:positionV relativeFrom="paragraph">
                    <wp:posOffset>-4589145</wp:posOffset>
                  </wp:positionV>
                  <wp:extent cx="497840" cy="504190"/>
                  <wp:effectExtent l="0" t="0" r="10160" b="3810"/>
                  <wp:wrapTight wrapText="bothSides">
                    <wp:wrapPolygon>
                      <wp:start x="0" y="0"/>
                      <wp:lineTo x="0" y="21219"/>
                      <wp:lineTo x="20939" y="21219"/>
                      <wp:lineTo x="209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新产品设计开发□原材料订制□生产/服务过程</w:t>
            </w:r>
            <w:r>
              <w:rPr>
                <w:rFonts w:hint="eastAsia"/>
                <w:lang w:eastAsia="zh-CN"/>
              </w:rPr>
              <w:t>☑</w:t>
            </w:r>
            <w:r>
              <w:rPr>
                <w:rFonts w:hint="eastAsia"/>
              </w:rPr>
              <w:t>检验检测□产品运输</w:t>
            </w:r>
            <w:r>
              <w:rPr>
                <w:rFonts w:hint="eastAsia"/>
                <w:lang w:eastAsia="zh-CN"/>
              </w:rPr>
              <w:t>☑</w:t>
            </w:r>
            <w:r>
              <w:rPr>
                <w:rFonts w:hint="eastAsia"/>
              </w:rPr>
              <w:t>设备维修</w:t>
            </w:r>
          </w:p>
          <w:p>
            <w:pPr>
              <w:shd w:val="clear" w:color="auto" w:fill="C7DAF1" w:themeFill="text2" w:themeFillTint="32"/>
              <w:spacing w:before="40" w:after="40"/>
            </w:pPr>
            <w:r>
              <w:rPr>
                <w:rFonts w:hint="eastAsia"/>
                <w:lang w:eastAsia="zh-CN"/>
              </w:rPr>
              <w:t>☑</w:t>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综合办</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7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04" w:type="dxa"/>
                </w:tcPr>
                <w:p>
                  <w:pPr>
                    <w:shd w:val="clear" w:color="auto" w:fill="C7DAF1" w:themeFill="text2" w:themeFillTint="32"/>
                  </w:pPr>
                  <w:r>
                    <w:rPr>
                      <w:rFonts w:hint="eastAsia"/>
                    </w:rPr>
                    <w:t>主要的风险或机遇描述</w:t>
                  </w:r>
                </w:p>
              </w:tc>
              <w:tc>
                <w:tcPr>
                  <w:tcW w:w="3700" w:type="dxa"/>
                </w:tcPr>
                <w:p>
                  <w:pPr>
                    <w:shd w:val="clear" w:color="auto" w:fill="C7DAF1" w:themeFill="text2" w:themeFillTint="32"/>
                  </w:pPr>
                  <w:r>
                    <w:rPr>
                      <w:rFonts w:hint="eastAsia"/>
                    </w:rPr>
                    <w:t>应对措施</w:t>
                  </w:r>
                </w:p>
              </w:tc>
              <w:tc>
                <w:tcPr>
                  <w:tcW w:w="15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对市场需要产品的发展趋势判断失误。</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2.客户要求识别不完整。</w:t>
                  </w:r>
                </w:p>
                <w:p>
                  <w:pPr>
                    <w:shd w:val="clear" w:color="auto" w:fill="C7DAF1" w:themeFill="text2" w:themeFillTint="32"/>
                  </w:pPr>
                  <w:r>
                    <w:rPr>
                      <w:rFonts w:hint="eastAsia" w:ascii="仿宋" w:hAnsi="仿宋" w:eastAsia="仿宋" w:cs="仿宋"/>
                    </w:rPr>
                    <w:t>3.未能确保能够满足客户要求就签署合同</w:t>
                  </w:r>
                </w:p>
              </w:tc>
              <w:tc>
                <w:tcPr>
                  <w:tcW w:w="3700"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1.对市场需求产品的发展趋势分析应该经过反复论证。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2.对客户的要求实施监视和测量。</w:t>
                  </w:r>
                </w:p>
                <w:p>
                  <w:pPr>
                    <w:shd w:val="clear" w:color="auto" w:fill="C7DAF1" w:themeFill="text2" w:themeFillTint="32"/>
                  </w:pPr>
                  <w:r>
                    <w:rPr>
                      <w:rFonts w:hint="eastAsia" w:ascii="仿宋" w:hAnsi="仿宋" w:eastAsia="仿宋" w:cs="仿宋"/>
                    </w:rPr>
                    <w:t>3.在确定与客户签署合同前落实合同评审事宜。</w:t>
                  </w:r>
                </w:p>
              </w:tc>
              <w:tc>
                <w:tcPr>
                  <w:tcW w:w="1518"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301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质量目标</w:t>
                  </w:r>
                </w:p>
              </w:tc>
              <w:tc>
                <w:tcPr>
                  <w:tcW w:w="3013"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计算方法</w:t>
                  </w:r>
                </w:p>
              </w:tc>
              <w:tc>
                <w:tcPr>
                  <w:tcW w:w="1350"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责任部门</w:t>
                  </w:r>
                </w:p>
              </w:tc>
              <w:tc>
                <w:tcPr>
                  <w:tcW w:w="177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lang w:val="en-US" w:eastAsia="zh-CN"/>
                    </w:rPr>
                    <w:t>一次交付合格率100%</w:t>
                  </w:r>
                </w:p>
              </w:tc>
              <w:tc>
                <w:tcPr>
                  <w:tcW w:w="30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eastAsia="zh-CN"/>
                    </w:rPr>
                  </w:pPr>
                  <w:r>
                    <w:rPr>
                      <w:rFonts w:hint="eastAsia" w:ascii="仿宋" w:hAnsi="仿宋" w:eastAsia="仿宋" w:cs="仿宋"/>
                      <w:lang w:val="en-US" w:eastAsia="zh-CN"/>
                    </w:rPr>
                    <w:t>交付数/总数</w:t>
                  </w:r>
                </w:p>
              </w:tc>
              <w:tc>
                <w:tcPr>
                  <w:tcW w:w="13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综合办</w:t>
                  </w:r>
                </w:p>
              </w:tc>
              <w:tc>
                <w:tcPr>
                  <w:tcW w:w="17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eastAsia="zh-CN"/>
                    </w:rPr>
                  </w:pPr>
                  <w:r>
                    <w:rPr>
                      <w:rFonts w:hint="eastAsia" w:ascii="仿宋" w:hAnsi="仿宋" w:eastAsia="仿宋" w:cs="仿宋"/>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lang w:val="en-US" w:eastAsia="zh-CN"/>
                    </w:rPr>
                    <w:t>客户满意率≥95%</w:t>
                  </w:r>
                </w:p>
              </w:tc>
              <w:tc>
                <w:tcPr>
                  <w:tcW w:w="30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eastAsia="zh-CN"/>
                    </w:rPr>
                  </w:pPr>
                  <w:r>
                    <w:rPr>
                      <w:rFonts w:hint="eastAsia" w:ascii="仿宋" w:hAnsi="仿宋" w:eastAsia="仿宋" w:cs="仿宋"/>
                      <w:lang w:val="en-US" w:eastAsia="zh-CN"/>
                    </w:rPr>
                    <w:t>满意数/总顾客满意数</w:t>
                  </w:r>
                </w:p>
              </w:tc>
              <w:tc>
                <w:tcPr>
                  <w:tcW w:w="13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综合办</w:t>
                  </w:r>
                </w:p>
              </w:tc>
              <w:tc>
                <w:tcPr>
                  <w:tcW w:w="17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rPr>
                  </w:pPr>
                  <w:r>
                    <w:rPr>
                      <w:rFonts w:hint="eastAsia" w:ascii="仿宋" w:hAnsi="仿宋" w:eastAsia="仿宋" w:cs="仿宋"/>
                      <w:lang w:val="en-US" w:eastAsia="zh-CN"/>
                    </w:rPr>
                    <w:t>96.2%</w:t>
                  </w: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w:t>
            </w:r>
            <w:r>
              <w:rPr>
                <w:rFonts w:hint="eastAsia"/>
                <w:u w:val="single"/>
                <w:lang w:val="en-US" w:eastAsia="zh-CN"/>
              </w:rPr>
              <w:t>0</w:t>
            </w:r>
            <w:r>
              <w:rPr>
                <w:rFonts w:hint="eastAsia"/>
              </w:rPr>
              <w:t>个；库房</w:t>
            </w:r>
            <w:r>
              <w:rPr>
                <w:rFonts w:hint="eastAsia"/>
                <w:u w:val="single"/>
                <w:lang w:val="en-US" w:eastAsia="zh-CN"/>
              </w:rPr>
              <w:t>0</w:t>
            </w:r>
            <w:r>
              <w:rPr>
                <w:rFonts w:hint="eastAsia"/>
              </w:rPr>
              <w:t>个；实验室</w:t>
            </w:r>
            <w:r>
              <w:rPr>
                <w:rFonts w:hint="eastAsia"/>
                <w:u w:val="single"/>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u w:val="single"/>
              </w:rPr>
              <w:t>（列举2~4种）</w:t>
            </w:r>
          </w:p>
          <w:p>
            <w:pPr>
              <w:shd w:val="clear" w:color="auto" w:fill="C7DAF1" w:themeFill="text2" w:themeFillTint="32"/>
            </w:pPr>
            <w:r>
              <w:rPr>
                <w:rFonts w:hint="eastAsia"/>
              </w:rPr>
              <w:t>特种设备：□叉车□行车□锅炉□电梯□压力容器□压力管道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 xml:space="preserve">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计算机软硬件及电子产品</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采购过程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按照合同的要求进行采购</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27</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jc w:val="both"/>
            </w:pPr>
            <w:r>
              <w:rPr>
                <w:rFonts w:hint="eastAsia"/>
              </w:rPr>
              <w:t>最高管理者制定了文件化的管理体系方针：</w:t>
            </w:r>
            <w:r>
              <w:rPr>
                <w:rFonts w:hint="eastAsia" w:ascii="宋体" w:hAnsi="宋体" w:eastAsia="宋体" w:cs="宋体"/>
                <w:szCs w:val="21"/>
                <w:u w:val="single"/>
                <w:lang w:val="en-US" w:eastAsia="zh-CN"/>
              </w:rPr>
              <w:t>持续创新，遵守诚信，勇担责任，追求完美；控制污染，改善环境，关注环保，关注未来；关注健康，保障安全，控制风险，持续改进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综合办</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7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rPr>
                      <w:color w:val="auto"/>
                    </w:rPr>
                  </w:pPr>
                  <w:r>
                    <w:rPr>
                      <w:rFonts w:hint="eastAsia"/>
                      <w:color w:val="auto"/>
                    </w:rPr>
                    <w:t>主要的风险或机遇描述</w:t>
                  </w:r>
                </w:p>
              </w:tc>
              <w:tc>
                <w:tcPr>
                  <w:tcW w:w="3700" w:type="dxa"/>
                </w:tcPr>
                <w:p>
                  <w:pPr>
                    <w:shd w:val="clear" w:color="auto" w:fill="C7DAF1" w:themeFill="text2" w:themeFillTint="32"/>
                    <w:rPr>
                      <w:color w:val="auto"/>
                    </w:rPr>
                  </w:pPr>
                  <w:r>
                    <w:rPr>
                      <w:rFonts w:hint="eastAsia"/>
                      <w:color w:val="auto"/>
                    </w:rPr>
                    <w:t>应对措施</w:t>
                  </w:r>
                </w:p>
              </w:tc>
              <w:tc>
                <w:tcPr>
                  <w:tcW w:w="1518"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对市场需要产品的发展趋势判断失误。</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2.客户要求识别不完整。</w:t>
                  </w:r>
                </w:p>
                <w:p>
                  <w:pPr>
                    <w:shd w:val="clear" w:color="auto" w:fill="C7DAF1" w:themeFill="text2" w:themeFillTint="32"/>
                    <w:rPr>
                      <w:color w:val="auto"/>
                    </w:rPr>
                  </w:pPr>
                  <w:r>
                    <w:rPr>
                      <w:rFonts w:hint="eastAsia" w:ascii="仿宋" w:hAnsi="仿宋" w:eastAsia="仿宋" w:cs="仿宋"/>
                      <w:color w:val="auto"/>
                    </w:rPr>
                    <w:t>3.未能确保能够满足客户要求就签署合同</w:t>
                  </w:r>
                </w:p>
              </w:tc>
              <w:tc>
                <w:tcPr>
                  <w:tcW w:w="3700"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1.对市场需求产品的发展趋势分析应该经过反复论证。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2.对客户的要求实施监视和测量。</w:t>
                  </w:r>
                </w:p>
                <w:p>
                  <w:pPr>
                    <w:shd w:val="clear" w:color="auto" w:fill="C7DAF1" w:themeFill="text2" w:themeFillTint="32"/>
                    <w:rPr>
                      <w:color w:val="auto"/>
                    </w:rPr>
                  </w:pPr>
                  <w:r>
                    <w:rPr>
                      <w:rFonts w:hint="eastAsia" w:ascii="仿宋" w:hAnsi="仿宋" w:eastAsia="仿宋" w:cs="仿宋"/>
                      <w:color w:val="auto"/>
                    </w:rPr>
                    <w:t>3.在确定与客户签署合同前落实合同评审事宜。</w:t>
                  </w:r>
                </w:p>
              </w:tc>
              <w:tc>
                <w:tcPr>
                  <w:tcW w:w="1518"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80" w:lineRule="exact"/>
                    <w:jc w:val="left"/>
                  </w:pPr>
                  <w:r>
                    <w:rPr>
                      <w:rFonts w:hint="eastAsia" w:ascii="宋体" w:hAnsi="宋体" w:cs="宋体"/>
                      <w:szCs w:val="21"/>
                    </w:rPr>
                    <w:t xml:space="preserve">1、固体废弃物按要求处理率大于100%；  </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废旧电子产品随时处理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综合办</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szCs w:val="21"/>
                      <w:lang w:val="en-US" w:eastAsia="zh-CN"/>
                    </w:rPr>
                    <w:t>2</w:t>
                  </w:r>
                  <w:r>
                    <w:rPr>
                      <w:rFonts w:hint="eastAsia" w:ascii="宋体" w:hAnsi="宋体" w:cs="宋体"/>
                      <w:szCs w:val="21"/>
                    </w:rPr>
                    <w:t>、无火灾事故发生；</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杜绝火源，制定应急预案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综合办</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严格控制火源，制定应急预案。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28</w:t>
            </w:r>
            <w:r>
              <w:rPr>
                <w:rFonts w:hint="eastAsia"/>
              </w:rPr>
              <w:t>日进行了的</w:t>
            </w:r>
            <w:r>
              <w:rPr>
                <w:rFonts w:hint="eastAsia"/>
                <w:lang w:val="en-US" w:eastAsia="zh-CN"/>
              </w:rPr>
              <w:t>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r>
              <w:rPr>
                <w:rFonts w:hint="eastAsia"/>
                <w:lang w:val="en-US" w:eastAsia="zh-CN"/>
              </w:rPr>
              <w:t>2021.7.30</w:t>
            </w:r>
          </w:p>
          <w:p>
            <w:pPr>
              <w:shd w:val="clear" w:color="auto" w:fill="EBF1DE" w:themeFill="accent3" w:themeFillTint="32"/>
            </w:pPr>
            <w:r>
              <w:rPr>
                <w:rFonts w:hint="eastAsia" w:ascii="Wingdings" w:hAnsi="Wingdings"/>
                <w:lang w:eastAsia="zh-CN"/>
              </w:rPr>
              <w:t>□</w:t>
            </w:r>
            <w:r>
              <w:rPr>
                <w:rFonts w:hint="eastAsia"/>
              </w:rPr>
              <w:t>定期（每年）：年月日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5-6</w:t>
            </w:r>
            <w:r>
              <w:rPr>
                <w:rFonts w:hint="eastAsia"/>
              </w:rPr>
              <w:t>日实施了环境管理体系内部审核，对环境管理体系的符合性和有效性进行了审核。内审发现的</w:t>
            </w:r>
            <w:r>
              <w:rPr>
                <w:rFonts w:hint="eastAsia"/>
                <w:lang w:val="en-US" w:eastAsia="zh-CN"/>
              </w:rPr>
              <w:t>0</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27</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pPr>
              <w:rPr>
                <w:rFonts w:hint="eastAsia" w:eastAsia="宋体"/>
                <w:lang w:eastAsia="zh-CN"/>
              </w:rPr>
            </w:pPr>
            <w:r>
              <w:t>计算机软硬件及电子产品的销售所涉及场所的相关职业健康安全管理活动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jc w:val="both"/>
              <w:rPr>
                <w:u w:val="single"/>
              </w:rPr>
            </w:pPr>
            <w:r>
              <w:rPr>
                <w:rFonts w:hint="eastAsia"/>
              </w:rPr>
              <w:t>最高管理者制定了文件化的职业健康安全管理体系方针：</w:t>
            </w:r>
            <w:r>
              <w:rPr>
                <w:rFonts w:hint="eastAsia" w:ascii="宋体" w:hAnsi="宋体" w:eastAsia="宋体" w:cs="宋体"/>
                <w:szCs w:val="21"/>
                <w:u w:val="single"/>
                <w:lang w:val="en-US" w:eastAsia="zh-CN"/>
              </w:rPr>
              <w:t>持续创新，遵守诚信，勇担责任，追求完美；控制污染，改善环境，关注环保，关注未来；关注健康，保障安全，控制风险，持续改进；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综合办</w:t>
            </w:r>
          </w:p>
          <w:p>
            <w:r>
              <w:rPr>
                <w:rFonts w:hint="eastAsia"/>
              </w:rPr>
              <w:t>安全的主管部门是——</w:t>
            </w:r>
            <w:r>
              <w:rPr>
                <w:rFonts w:hint="eastAsia"/>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张浩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7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rPr>
                      <w:color w:val="auto"/>
                    </w:rPr>
                  </w:pPr>
                  <w:r>
                    <w:rPr>
                      <w:rFonts w:hint="eastAsia"/>
                      <w:color w:val="auto"/>
                    </w:rPr>
                    <w:t>主要的风险或机遇描述</w:t>
                  </w:r>
                </w:p>
              </w:tc>
              <w:tc>
                <w:tcPr>
                  <w:tcW w:w="3700" w:type="dxa"/>
                </w:tcPr>
                <w:p>
                  <w:pPr>
                    <w:shd w:val="clear" w:color="auto" w:fill="C7DAF1" w:themeFill="text2" w:themeFillTint="32"/>
                    <w:rPr>
                      <w:color w:val="auto"/>
                    </w:rPr>
                  </w:pPr>
                  <w:r>
                    <w:rPr>
                      <w:rFonts w:hint="eastAsia"/>
                      <w:color w:val="auto"/>
                    </w:rPr>
                    <w:t>应对措施</w:t>
                  </w:r>
                </w:p>
              </w:tc>
              <w:tc>
                <w:tcPr>
                  <w:tcW w:w="1518"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rPr>
                      <w:rFonts w:hint="default" w:eastAsia="宋体"/>
                      <w:color w:val="auto"/>
                      <w:lang w:val="en-US" w:eastAsia="zh-CN"/>
                    </w:rPr>
                  </w:pPr>
                  <w:r>
                    <w:rPr>
                      <w:rFonts w:hint="eastAsia" w:ascii="仿宋" w:hAnsi="仿宋" w:eastAsia="仿宋" w:cs="仿宋"/>
                      <w:color w:val="auto"/>
                      <w:lang w:val="en-US" w:eastAsia="zh-CN"/>
                    </w:rPr>
                    <w:t>对火灾的控制和治理。</w:t>
                  </w:r>
                </w:p>
              </w:tc>
              <w:tc>
                <w:tcPr>
                  <w:tcW w:w="3700" w:type="dxa"/>
                </w:tcPr>
                <w:p>
                  <w:pPr>
                    <w:shd w:val="clear" w:color="auto" w:fill="C7DAF1" w:themeFill="text2" w:themeFillTint="32"/>
                    <w:rPr>
                      <w:rFonts w:hint="default" w:eastAsia="宋体"/>
                      <w:color w:val="auto"/>
                      <w:lang w:val="en-US" w:eastAsia="zh-CN"/>
                    </w:rPr>
                  </w:pPr>
                  <w:r>
                    <w:rPr>
                      <w:rFonts w:hint="eastAsia"/>
                      <w:color w:val="auto"/>
                      <w:lang w:val="en-US" w:eastAsia="zh-CN"/>
                    </w:rPr>
                    <w:t>严格控制火源，制定应急预案</w:t>
                  </w:r>
                </w:p>
              </w:tc>
              <w:tc>
                <w:tcPr>
                  <w:tcW w:w="1518"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火灾事故为0</w:t>
                  </w:r>
                </w:p>
              </w:tc>
              <w:tc>
                <w:tcPr>
                  <w:tcW w:w="3136" w:type="dxa"/>
                  <w:shd w:val="clear" w:color="auto" w:fill="auto"/>
                  <w:vAlign w:val="center"/>
                </w:tcPr>
                <w:p>
                  <w:pPr>
                    <w:rPr>
                      <w:rFonts w:hint="default" w:eastAsia="宋体"/>
                      <w:lang w:val="en-US" w:eastAsia="zh-CN"/>
                    </w:rPr>
                  </w:pPr>
                  <w:r>
                    <w:rPr>
                      <w:rFonts w:hint="eastAsia"/>
                      <w:lang w:val="en-US" w:eastAsia="zh-CN"/>
                    </w:rPr>
                    <w:t>严格杜绝火源，制定应急预案</w:t>
                  </w:r>
                </w:p>
              </w:tc>
              <w:tc>
                <w:tcPr>
                  <w:tcW w:w="1350" w:type="dxa"/>
                  <w:shd w:val="clear" w:color="auto" w:fill="auto"/>
                  <w:vAlign w:val="center"/>
                </w:tcPr>
                <w:p>
                  <w:pPr>
                    <w:rPr>
                      <w:rFonts w:hint="eastAsia" w:eastAsia="宋体"/>
                      <w:lang w:val="en-US" w:eastAsia="zh-CN"/>
                    </w:rPr>
                  </w:pPr>
                  <w:r>
                    <w:rPr>
                      <w:rFonts w:hint="eastAsia"/>
                      <w:lang w:val="en-US" w:eastAsia="zh-CN"/>
                    </w:rPr>
                    <w:t>综合办</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t>□</w:t>
                  </w:r>
                  <w:r>
                    <w:rPr>
                      <w:rFonts w:hint="eastAsia"/>
                      <w:lang w:val="en-US" w:eastAsia="zh-CN"/>
                    </w:rPr>
                    <w:t>严格杜绝火源，制定应急预案</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r>
              <w:rPr>
                <w:rFonts w:hint="eastAsia"/>
                <w:lang w:val="en-US" w:eastAsia="zh-CN"/>
              </w:rPr>
              <w:t>2021.7.30</w:t>
            </w:r>
          </w:p>
          <w:p>
            <w:r>
              <w:rPr>
                <w:rFonts w:hint="eastAsia" w:ascii="Wingdings" w:hAnsi="Wingdings"/>
                <w:lang w:eastAsia="zh-CN"/>
              </w:rPr>
              <w:t>□</w:t>
            </w:r>
            <w:r>
              <w:rPr>
                <w:rFonts w:hint="eastAsia"/>
              </w:rPr>
              <w:t>定期（每年）：年月日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w:t>
            </w:r>
            <w:r>
              <w:rPr>
                <w:rFonts w:hint="eastAsia"/>
                <w:lang w:val="en-US" w:eastAsia="zh-CN"/>
              </w:rPr>
              <w:t>0</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27</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中國龍中黑體">
    <w:altName w:val="黑体"/>
    <w:panose1 w:val="00000000000000000000"/>
    <w:charset w:val="88"/>
    <w:family w:val="modern"/>
    <w:pitch w:val="default"/>
    <w:sig w:usb0="00000000" w:usb1="00000000" w:usb2="0000003F" w:usb3="00000000" w:csb0="001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CEA07F8"/>
    <w:rsid w:val="61233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rPr>
      <w:rFonts w:eastAsia="中國龍中黑體"/>
      <w:sz w:val="24"/>
      <w:szCs w:val="20"/>
      <w:lang w:eastAsia="zh-TW"/>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2"/>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2021-09-17T13:31:18Z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