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38"/>
        <w:gridCol w:w="1214"/>
        <w:gridCol w:w="1173"/>
        <w:gridCol w:w="1268"/>
        <w:gridCol w:w="25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65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西藏创享人力资源服务有限公司</w:t>
            </w:r>
            <w:bookmarkEnd w:id="7"/>
          </w:p>
        </w:tc>
        <w:tc>
          <w:tcPr>
            <w:tcW w:w="126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Q：33.02.01;33.02.03;35.10.00;35.20.00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E：33.02.01;33.02.03;35.10.00;35.20.00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O：33.02.01;33.02.03;35.10.00;35.20.00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中國龍中黑體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62865</wp:posOffset>
                  </wp:positionV>
                  <wp:extent cx="662305" cy="410210"/>
                  <wp:effectExtent l="0" t="0" r="4445" b="0"/>
                  <wp:wrapTight wrapText="bothSides">
                    <wp:wrapPolygon>
                      <wp:start x="0" y="0"/>
                      <wp:lineTo x="0" y="20363"/>
                      <wp:lineTo x="21124" y="20363"/>
                      <wp:lineTo x="21124" y="0"/>
                      <wp:lineTo x="0" y="0"/>
                    </wp:wrapPolygon>
                  </wp:wrapTight>
                  <wp:docPr id="2" name="图片 2" descr="7d4fd34e5d0de1bf6074da28bfca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d4fd34e5d0de1bf6074da28bfca9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33.02.01;33.02.03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35.10.00;35.20.00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24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人力资源管理服务：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业务洽谈或投标→签订合同→人员配备及培训→提供服务→服务质量检查→持续改进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人力资源管理信息软件开发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需求、可行性分析→概要设计→详细设计（编码、单元测试）→系统测试→验收交付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技术服务：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业务洽谈或投标→签订合同→人员配备→提供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服务→服务质量检查→持续改进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240" w:lineRule="exac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会议服务：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业务洽谈或投标→签订合同→人员配备→提供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会议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服务→服务质量检查→持续改进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人力资源服务过程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：控制措施：采用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服务检查记录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服务质量考评表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等评价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服务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过程。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软件确认过程：对软件功能性要求进行模拟测试、功能性测试、变换方法计算等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办公活动产生废旧墨盒硒鼓、废电池、生活垃圾等固废。</w:t>
            </w: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 xml:space="preserve">运行程序目标指标方案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潜在火灾 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措施：通过</w:t>
            </w:r>
            <w:r>
              <w:rPr>
                <w:rFonts w:hint="eastAsia"/>
                <w:b/>
                <w:sz w:val="20"/>
              </w:rPr>
              <w:t>应急预案</w:t>
            </w:r>
            <w:r>
              <w:rPr>
                <w:rFonts w:hint="eastAsia"/>
                <w:b/>
                <w:sz w:val="20"/>
                <w:lang w:val="en-US" w:eastAsia="zh-CN"/>
              </w:rPr>
              <w:t>演练、</w:t>
            </w:r>
            <w:r>
              <w:rPr>
                <w:rFonts w:hint="eastAsia"/>
                <w:b/>
                <w:sz w:val="20"/>
              </w:rPr>
              <w:t xml:space="preserve">目标指标方案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车辆伤害 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运行控制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val="en-US" w:eastAsia="zh-CN"/>
              </w:rPr>
              <w:t>发生：措施：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运行控制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目标和方案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中华人民共和国劳动法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中华人民共和国民法典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中华人民共和国产品质量法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中华人民共和国消防法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中华人民共和国环境保护法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中华人民共和国标准化法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中华人民共和国安全生产法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中华人民共和国公司法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中华人民共和国消费者权益保护法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中华人民共和国固体废物污染环境防治法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中华人民共和国环境噪声污染防治法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中华人民共和国大气污染防治法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人力资源管理咨询服务规范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人力资源培训服务规范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人力资源服务术语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人力资源外包服务规范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人力资源服务机构能力指数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GB/T 15532-1995    计算机软件单元测试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GB/T 8567-1988     计算机软件产品开发文件编制指南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中國龍中黑體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166370</wp:posOffset>
                  </wp:positionV>
                  <wp:extent cx="662305" cy="410210"/>
                  <wp:effectExtent l="0" t="0" r="4445" b="8890"/>
                  <wp:wrapTight wrapText="bothSides">
                    <wp:wrapPolygon>
                      <wp:start x="0" y="0"/>
                      <wp:lineTo x="0" y="20363"/>
                      <wp:lineTo x="21124" y="20363"/>
                      <wp:lineTo x="21124" y="0"/>
                      <wp:lineTo x="0" y="0"/>
                    </wp:wrapPolygon>
                  </wp:wrapTight>
                  <wp:docPr id="3" name="图片 3" descr="7d4fd34e5d0de1bf6074da28bfca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d4fd34e5d0de1bf6074da28bfca9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465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50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eastAsia="中國龍中黑體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bookmarkStart w:id="9" w:name="_GoBack"/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bookmarkEnd w:id="9"/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144784"/>
    <w:rsid w:val="113E6B32"/>
    <w:rsid w:val="15F74470"/>
    <w:rsid w:val="16C360FE"/>
    <w:rsid w:val="23461EAB"/>
    <w:rsid w:val="3BA66E6C"/>
    <w:rsid w:val="515D3416"/>
    <w:rsid w:val="5EC40174"/>
    <w:rsid w:val="66F37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中國龍中黑體"/>
      <w:sz w:val="24"/>
      <w:szCs w:val="20"/>
      <w:lang w:eastAsia="zh-TW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1"/>
    <w:semiHidden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rFonts w:eastAsia="Times New Roman"/>
      <w:kern w:val="0"/>
      <w:sz w:val="24"/>
      <w:lang w:eastAsia="en-US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2021-09-28T08:38:53Z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