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0487-2020-Q-2021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汉源县鑫馨商贸有限责任公司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汉源县鑫馨商贸有限责任公司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汉源县富林镇江汉大道四段52地块财富商业中心1幢2层</w:t>
            </w:r>
            <w:bookmarkEnd w:id="6"/>
          </w:p>
        </w:tc>
        <w:tc>
          <w:tcPr>
            <w:tcW w:w="1242" w:type="dxa"/>
            <w:vMerge w:val="restart"/>
            <w:vAlign w:val="center"/>
          </w:tcPr>
          <w:p>
            <w:r>
              <w:rPr>
                <w:rFonts w:hint="eastAsia"/>
              </w:rPr>
              <w:t>邮编</w:t>
            </w:r>
          </w:p>
        </w:tc>
        <w:tc>
          <w:tcPr>
            <w:tcW w:w="1771" w:type="dxa"/>
          </w:tcPr>
          <w:p>
            <w:bookmarkStart w:id="7" w:name="注册邮编"/>
            <w:r>
              <w:t>625300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汉源县富林镇江汉大道四段52地块财富商业中心1幢2层</w:t>
            </w:r>
            <w:bookmarkEnd w:id="8"/>
          </w:p>
        </w:tc>
        <w:tc>
          <w:tcPr>
            <w:tcW w:w="1242" w:type="dxa"/>
            <w:vMerge w:val="continue"/>
            <w:vAlign w:val="center"/>
          </w:tcPr>
          <w:p/>
        </w:tc>
        <w:tc>
          <w:tcPr>
            <w:tcW w:w="1771" w:type="dxa"/>
          </w:tcPr>
          <w:p>
            <w:bookmarkStart w:id="9" w:name="办公邮编"/>
            <w:r>
              <w:t>625300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王瑞</w:t>
            </w:r>
            <w:bookmarkEnd w:id="10"/>
          </w:p>
        </w:tc>
        <w:tc>
          <w:tcPr>
            <w:tcW w:w="1313" w:type="dxa"/>
            <w:vAlign w:val="center"/>
          </w:tcPr>
          <w:p>
            <w:r>
              <w:rPr>
                <w:rFonts w:hint="eastAsia"/>
              </w:rPr>
              <w:t>电话.</w:t>
            </w:r>
          </w:p>
        </w:tc>
        <w:tc>
          <w:tcPr>
            <w:tcW w:w="2180" w:type="dxa"/>
            <w:vAlign w:val="center"/>
          </w:tcPr>
          <w:p>
            <w:bookmarkStart w:id="11" w:name="联系人电话"/>
            <w:r>
              <w:t>18829841889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刘萍</w:t>
            </w:r>
            <w:bookmarkEnd w:id="13"/>
          </w:p>
        </w:tc>
        <w:tc>
          <w:tcPr>
            <w:tcW w:w="1313" w:type="dxa"/>
            <w:vAlign w:val="center"/>
          </w:tcPr>
          <w:p>
            <w:r>
              <w:rPr>
                <w:rFonts w:hint="eastAsia"/>
              </w:rPr>
              <w:t>管理者代表</w:t>
            </w:r>
          </w:p>
        </w:tc>
        <w:tc>
          <w:tcPr>
            <w:tcW w:w="2180" w:type="dxa"/>
          </w:tcPr>
          <w:p>
            <w:bookmarkStart w:id="14" w:name="管理者代表"/>
            <w:r>
              <w:t>阮毅</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cs="宋体"/>
                <w:color w:val="000000"/>
                <w:szCs w:val="21"/>
              </w:rPr>
              <w:t>市场研究---签订</w:t>
            </w:r>
            <w:r>
              <w:rPr>
                <w:rFonts w:hint="eastAsia" w:ascii="宋体" w:hAnsi="宋体" w:cs="宋体"/>
                <w:color w:val="000000"/>
                <w:szCs w:val="21"/>
                <w:lang w:eastAsia="zh-CN"/>
              </w:rPr>
              <w:t>合同</w:t>
            </w:r>
            <w:r>
              <w:rPr>
                <w:rFonts w:hint="eastAsia" w:ascii="宋体" w:hAnsi="宋体" w:cs="宋体"/>
                <w:color w:val="000000"/>
                <w:szCs w:val="21"/>
              </w:rPr>
              <w:t>---产品采购---交付---售后服务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2021年09月14日 上午至2021年09月15日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Q：初级农产品（果蔬、冷鲜肉类、禽蛋）、预包装食品、散装食品的销售（限许可范围内）（不含超市零售）</w:t>
            </w:r>
          </w:p>
          <w:p>
            <w:r>
              <w:t>E：初级农产品（果蔬、冷鲜肉类、禽蛋）、预包装食品、散装食品的销售（限许可范围内）（不含超市零售）所涉及场所的相关环境管理活动</w:t>
            </w:r>
          </w:p>
          <w:p>
            <w:r>
              <w:t>O：初级农产品（果蔬、冷鲜肉类、禽蛋）、预包装食品、散装食品的销售（限许可范围内）（不含超市零售）所涉及场所的相关职业健康安全管理活动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Q：29.14.01;29.14.02;29.14.07</w:t>
            </w:r>
          </w:p>
          <w:p>
            <w:r>
              <w:t>E：29.14.01;29.14.02;29.14.07</w:t>
            </w:r>
          </w:p>
          <w:p>
            <w:r>
              <w:t>O：29.14.01;29.14.02;29.14.07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2021年5月19日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2020年9月12日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lang w:val="en-US" w:eastAsia="zh-CN"/>
              </w:rPr>
              <w:t>2023年9月13日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05"/>
        <w:gridCol w:w="1710"/>
        <w:gridCol w:w="285"/>
        <w:gridCol w:w="2940"/>
        <w:gridCol w:w="93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46" w:type="dxa"/>
            <w:shd w:val="clear" w:color="auto" w:fill="F3F3F3"/>
            <w:tcMar>
              <w:left w:w="57" w:type="dxa"/>
              <w:right w:w="57" w:type="dxa"/>
            </w:tcMar>
          </w:tcPr>
          <w:p>
            <w:r>
              <w:rPr>
                <w:rFonts w:hint="eastAsia"/>
              </w:rPr>
              <w:t>场所编号</w:t>
            </w:r>
          </w:p>
          <w:p>
            <w:r>
              <w:rPr>
                <w:rFonts w:hint="eastAsia"/>
              </w:rPr>
              <w:t>(分证书序号）</w:t>
            </w:r>
          </w:p>
        </w:tc>
        <w:tc>
          <w:tcPr>
            <w:tcW w:w="2505" w:type="dxa"/>
            <w:shd w:val="clear" w:color="auto" w:fill="F3F3F3"/>
            <w:tcMar>
              <w:left w:w="57" w:type="dxa"/>
              <w:right w:w="57" w:type="dxa"/>
            </w:tcMar>
          </w:tcPr>
          <w:p>
            <w:r>
              <w:rPr>
                <w:rFonts w:hint="eastAsia"/>
              </w:rPr>
              <w:t>组织名称及注册场所地址</w:t>
            </w:r>
          </w:p>
        </w:tc>
        <w:tc>
          <w:tcPr>
            <w:tcW w:w="1710" w:type="dxa"/>
            <w:shd w:val="clear" w:color="auto" w:fill="F3F3F3"/>
            <w:tcMar>
              <w:left w:w="57" w:type="dxa"/>
              <w:right w:w="57" w:type="dxa"/>
            </w:tcMar>
          </w:tcPr>
          <w:p>
            <w:r>
              <w:rPr>
                <w:rFonts w:hint="eastAsia"/>
              </w:rPr>
              <w:t>经营场所的地址</w:t>
            </w:r>
          </w:p>
          <w:p>
            <w:r>
              <w:rPr>
                <w:rFonts w:hint="eastAsia"/>
              </w:rPr>
              <w:t>（多现场和临时现场）</w:t>
            </w:r>
          </w:p>
        </w:tc>
        <w:tc>
          <w:tcPr>
            <w:tcW w:w="285" w:type="dxa"/>
            <w:shd w:val="clear" w:color="auto" w:fill="F3F3F3"/>
            <w:tcMar>
              <w:left w:w="57" w:type="dxa"/>
              <w:right w:w="57" w:type="dxa"/>
            </w:tcMar>
          </w:tcPr>
          <w:p>
            <w:r>
              <w:rPr>
                <w:rFonts w:hint="eastAsia"/>
              </w:rPr>
              <w:t>员工人数</w:t>
            </w:r>
          </w:p>
        </w:tc>
        <w:tc>
          <w:tcPr>
            <w:tcW w:w="2940" w:type="dxa"/>
            <w:shd w:val="clear" w:color="auto" w:fill="F3F3F3"/>
            <w:tcMar>
              <w:left w:w="57" w:type="dxa"/>
              <w:right w:w="57" w:type="dxa"/>
            </w:tcMar>
          </w:tcPr>
          <w:p>
            <w:r>
              <w:rPr>
                <w:rFonts w:hint="eastAsia"/>
              </w:rPr>
              <w:t>审核范围（产品和过程）</w:t>
            </w:r>
          </w:p>
          <w:p/>
          <w:p/>
        </w:tc>
        <w:tc>
          <w:tcPr>
            <w:tcW w:w="938"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846" w:type="dxa"/>
            <w:vAlign w:val="center"/>
          </w:tcPr>
          <w:p>
            <w:pPr>
              <w:rPr>
                <w:lang w:eastAsia="ja-JP"/>
              </w:rPr>
            </w:pPr>
            <w:r>
              <w:rPr>
                <w:rFonts w:hint="eastAsia"/>
                <w:lang w:eastAsia="ja-JP"/>
              </w:rPr>
              <w:t>01</w:t>
            </w:r>
          </w:p>
        </w:tc>
        <w:tc>
          <w:tcPr>
            <w:tcW w:w="2505" w:type="dxa"/>
            <w:vAlign w:val="top"/>
          </w:tcPr>
          <w:p>
            <w:pPr>
              <w:spacing w:before="40" w:after="40"/>
              <w:rPr>
                <w:rFonts w:hint="eastAsia" w:ascii="Times New Roman" w:hAnsi="Times New Roman" w:eastAsia="宋体" w:cs="Times New Roman"/>
                <w:kern w:val="2"/>
                <w:sz w:val="21"/>
                <w:szCs w:val="21"/>
                <w:lang w:val="de-DE" w:eastAsia="ja-JP" w:bidi="ar-SA"/>
              </w:rPr>
            </w:pPr>
            <w:r>
              <w:rPr>
                <w:rFonts w:ascii="宋体"/>
                <w:b/>
                <w:color w:val="000000"/>
                <w:szCs w:val="21"/>
              </w:rPr>
              <w:t>汉源县鑫馨商贸有限责任公司</w:t>
            </w:r>
            <w:r>
              <w:rPr>
                <w:rFonts w:hint="eastAsia" w:ascii="宋体"/>
                <w:b/>
                <w:color w:val="000000"/>
                <w:szCs w:val="21"/>
                <w:lang w:val="en-US" w:eastAsia="zh-CN"/>
              </w:rPr>
              <w:t>/</w:t>
            </w:r>
            <w:r>
              <w:rPr>
                <w:rFonts w:ascii="宋体"/>
                <w:b/>
                <w:color w:val="000000"/>
                <w:szCs w:val="21"/>
              </w:rPr>
              <w:t>汉源县富林镇江汉大道四段52地块财富商业中心1幢2层</w:t>
            </w:r>
          </w:p>
        </w:tc>
        <w:tc>
          <w:tcPr>
            <w:tcW w:w="1710" w:type="dxa"/>
            <w:vAlign w:val="top"/>
          </w:tcPr>
          <w:p>
            <w:pPr>
              <w:spacing w:before="40" w:after="40"/>
              <w:rPr>
                <w:rFonts w:ascii="Times New Roman" w:hAnsi="Times New Roman" w:eastAsia="黑体" w:cs="Times New Roman"/>
                <w:kern w:val="2"/>
                <w:sz w:val="21"/>
                <w:szCs w:val="21"/>
                <w:lang w:val="de-DE" w:eastAsia="ja-JP" w:bidi="ar-SA"/>
              </w:rPr>
            </w:pPr>
            <w:r>
              <w:rPr>
                <w:rFonts w:ascii="宋体"/>
                <w:b/>
                <w:color w:val="000000"/>
                <w:szCs w:val="21"/>
              </w:rPr>
              <w:t>汉源县富林镇江汉大道四段52地块财富商业中心1幢2层</w:t>
            </w:r>
          </w:p>
        </w:tc>
        <w:tc>
          <w:tcPr>
            <w:tcW w:w="285"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30</w:t>
            </w:r>
          </w:p>
        </w:tc>
        <w:tc>
          <w:tcPr>
            <w:tcW w:w="2940" w:type="dxa"/>
            <w:vAlign w:val="center"/>
          </w:tcPr>
          <w:p>
            <w:pPr>
              <w:rPr>
                <w:lang w:eastAsia="ja-JP"/>
              </w:rPr>
            </w:pPr>
            <w:r>
              <w:t>初级农产品（果蔬、冷鲜肉类、禽蛋）、预包装食品、散装食品的销售（限许可范围内）（不含超市零售）</w:t>
            </w:r>
          </w:p>
        </w:tc>
        <w:tc>
          <w:tcPr>
            <w:tcW w:w="938" w:type="dxa"/>
            <w:vAlign w:val="center"/>
          </w:tcPr>
          <w:p>
            <w:pPr>
              <w:rPr>
                <w:lang w:eastAsia="ja-JP"/>
              </w:rPr>
            </w:pPr>
            <w:r>
              <w:rPr>
                <w:rFonts w:hint="eastAsia"/>
                <w:lang w:val="de-DE" w:eastAsia="ja-JP"/>
              </w:rPr>
              <w:t>GB/T19001-2016</w:t>
            </w:r>
            <w:r>
              <w:rPr>
                <w:rFonts w:hint="eastAsia"/>
                <w:lang w:eastAsia="ja-JP"/>
              </w:rPr>
              <w:t>/</w:t>
            </w:r>
            <w:r>
              <w:rPr>
                <w:rFonts w:hint="eastAsia"/>
                <w:lang w:val="de-DE" w:eastAsia="ja-JP"/>
              </w:rPr>
              <w:t>ISO</w:t>
            </w:r>
            <w:r>
              <w:rPr>
                <w:rFonts w:hint="eastAsia"/>
                <w:lang w:eastAsia="ja-JP"/>
              </w:rPr>
              <w:t>9</w:t>
            </w:r>
            <w:r>
              <w:rPr>
                <w:rFonts w:hint="eastAsia"/>
                <w:lang w:val="de-DE" w:eastAsia="ja-JP"/>
              </w:rPr>
              <w:t>001：201</w:t>
            </w:r>
            <w:r>
              <w:rPr>
                <w:rFonts w:hint="eastAsia"/>
                <w:lang w:eastAsia="ja-JP"/>
              </w:rPr>
              <w:t>5</w:t>
            </w:r>
          </w:p>
        </w:tc>
        <w:tc>
          <w:tcPr>
            <w:tcW w:w="668" w:type="dxa"/>
            <w:shd w:val="clear" w:color="auto" w:fill="FFFFFF"/>
          </w:tcPr>
          <w:p>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rPr>
                <w:lang w:eastAsia="ja-JP"/>
              </w:rPr>
            </w:pPr>
            <w:r>
              <w:rPr>
                <w:rFonts w:hint="eastAsia"/>
                <w:lang w:eastAsia="ja-JP"/>
              </w:rPr>
              <w:t>02</w:t>
            </w:r>
          </w:p>
        </w:tc>
        <w:tc>
          <w:tcPr>
            <w:tcW w:w="2505" w:type="dxa"/>
            <w:vAlign w:val="top"/>
          </w:tcPr>
          <w:p>
            <w:pPr>
              <w:spacing w:before="40" w:after="40"/>
              <w:rPr>
                <w:rFonts w:hint="eastAsia" w:ascii="Times New Roman" w:hAnsi="Times New Roman" w:eastAsia="宋体" w:cs="Times New Roman"/>
                <w:kern w:val="2"/>
                <w:sz w:val="21"/>
                <w:szCs w:val="21"/>
                <w:lang w:val="en-US" w:eastAsia="ja-JP" w:bidi="ar-SA"/>
              </w:rPr>
            </w:pPr>
            <w:r>
              <w:rPr>
                <w:rFonts w:ascii="宋体"/>
                <w:b/>
                <w:color w:val="000000"/>
                <w:szCs w:val="21"/>
              </w:rPr>
              <w:t>汉源县鑫馨商贸有限责任公司</w:t>
            </w:r>
            <w:r>
              <w:rPr>
                <w:rFonts w:hint="eastAsia" w:ascii="宋体"/>
                <w:b/>
                <w:color w:val="000000"/>
                <w:szCs w:val="21"/>
                <w:lang w:val="en-US" w:eastAsia="zh-CN"/>
              </w:rPr>
              <w:t>/</w:t>
            </w:r>
            <w:r>
              <w:rPr>
                <w:rFonts w:ascii="宋体"/>
                <w:b/>
                <w:color w:val="000000"/>
                <w:szCs w:val="21"/>
              </w:rPr>
              <w:t>汉源县富林镇江汉大道四段52地块财富商业中心1幢2层</w:t>
            </w:r>
          </w:p>
        </w:tc>
        <w:tc>
          <w:tcPr>
            <w:tcW w:w="1710" w:type="dxa"/>
            <w:vAlign w:val="top"/>
          </w:tcPr>
          <w:p>
            <w:pPr>
              <w:spacing w:before="40" w:after="40"/>
              <w:rPr>
                <w:rFonts w:ascii="Times New Roman" w:hAnsi="Times New Roman" w:eastAsia="黑体" w:cs="Times New Roman"/>
                <w:kern w:val="2"/>
                <w:sz w:val="21"/>
                <w:szCs w:val="21"/>
                <w:lang w:val="de-DE" w:eastAsia="ja-JP" w:bidi="ar-SA"/>
              </w:rPr>
            </w:pPr>
            <w:r>
              <w:rPr>
                <w:rFonts w:ascii="宋体"/>
                <w:b/>
                <w:color w:val="000000"/>
                <w:szCs w:val="21"/>
              </w:rPr>
              <w:t>汉源县富林镇江汉大道四段52地块财富商业中心1幢2层</w:t>
            </w:r>
          </w:p>
        </w:tc>
        <w:tc>
          <w:tcPr>
            <w:tcW w:w="285"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30</w:t>
            </w:r>
          </w:p>
        </w:tc>
        <w:tc>
          <w:tcPr>
            <w:tcW w:w="2940" w:type="dxa"/>
            <w:vAlign w:val="center"/>
          </w:tcPr>
          <w:p>
            <w:pPr>
              <w:spacing w:line="400" w:lineRule="exact"/>
              <w:rPr>
                <w:rFonts w:ascii="宋体" w:hAnsi="宋体" w:eastAsia="宋体" w:cs="Times New Roman"/>
                <w:b/>
                <w:color w:val="000000"/>
                <w:kern w:val="2"/>
                <w:sz w:val="21"/>
                <w:szCs w:val="21"/>
                <w:lang w:val="en-US" w:eastAsia="ja-JP" w:bidi="ar-SA"/>
              </w:rPr>
            </w:pPr>
            <w:r>
              <w:t>初级农产品（果蔬、冷鲜肉类、禽蛋）、预包装食品、散装食品的销售（限许可范围内）（不含超市零售）所涉及场所的相关环境管理活动</w:t>
            </w:r>
          </w:p>
        </w:tc>
        <w:tc>
          <w:tcPr>
            <w:tcW w:w="938"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GB/T24001-2016/ISO 14001:2015</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Align w:val="center"/>
          </w:tcPr>
          <w:p>
            <w:pPr>
              <w:rPr>
                <w:lang w:eastAsia="ja-JP"/>
              </w:rPr>
            </w:pPr>
            <w:r>
              <w:rPr>
                <w:rFonts w:hint="eastAsia"/>
                <w:lang w:eastAsia="ja-JP"/>
              </w:rPr>
              <w:t>03</w:t>
            </w:r>
          </w:p>
        </w:tc>
        <w:tc>
          <w:tcPr>
            <w:tcW w:w="2505" w:type="dxa"/>
            <w:vAlign w:val="top"/>
          </w:tcPr>
          <w:p>
            <w:pPr>
              <w:spacing w:before="40" w:after="40"/>
              <w:rPr>
                <w:rFonts w:hint="eastAsia" w:ascii="Times New Roman" w:hAnsi="Times New Roman" w:eastAsia="宋体" w:cs="Times New Roman"/>
                <w:kern w:val="2"/>
                <w:sz w:val="21"/>
                <w:szCs w:val="21"/>
                <w:lang w:val="en-US" w:eastAsia="ja-JP" w:bidi="ar-SA"/>
              </w:rPr>
            </w:pPr>
            <w:r>
              <w:rPr>
                <w:rFonts w:ascii="宋体"/>
                <w:b/>
                <w:color w:val="000000"/>
                <w:szCs w:val="21"/>
              </w:rPr>
              <w:t>汉源县鑫馨商贸有限责任公司</w:t>
            </w:r>
            <w:r>
              <w:rPr>
                <w:rFonts w:hint="eastAsia" w:ascii="宋体"/>
                <w:b/>
                <w:color w:val="000000"/>
                <w:szCs w:val="21"/>
                <w:lang w:val="en-US" w:eastAsia="zh-CN"/>
              </w:rPr>
              <w:t>/</w:t>
            </w:r>
            <w:r>
              <w:rPr>
                <w:rFonts w:ascii="宋体"/>
                <w:b/>
                <w:color w:val="000000"/>
                <w:szCs w:val="21"/>
              </w:rPr>
              <w:t>汉源县富林镇江汉大道四段52地块财富商业中心1幢2层</w:t>
            </w:r>
          </w:p>
        </w:tc>
        <w:tc>
          <w:tcPr>
            <w:tcW w:w="1710" w:type="dxa"/>
            <w:vAlign w:val="top"/>
          </w:tcPr>
          <w:p>
            <w:pPr>
              <w:spacing w:before="40" w:after="40"/>
              <w:rPr>
                <w:rFonts w:ascii="Times New Roman" w:hAnsi="Times New Roman" w:eastAsia="黑体" w:cs="Times New Roman"/>
                <w:kern w:val="2"/>
                <w:sz w:val="21"/>
                <w:szCs w:val="21"/>
                <w:lang w:val="de-DE" w:eastAsia="ja-JP" w:bidi="ar-SA"/>
              </w:rPr>
            </w:pPr>
            <w:r>
              <w:rPr>
                <w:rFonts w:ascii="宋体"/>
                <w:b/>
                <w:color w:val="000000"/>
                <w:szCs w:val="21"/>
              </w:rPr>
              <w:t>汉源县富林镇江汉大道四段52地块财富商业中心1幢2层</w:t>
            </w:r>
          </w:p>
        </w:tc>
        <w:tc>
          <w:tcPr>
            <w:tcW w:w="285"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30</w:t>
            </w:r>
          </w:p>
        </w:tc>
        <w:tc>
          <w:tcPr>
            <w:tcW w:w="2940" w:type="dxa"/>
            <w:vAlign w:val="center"/>
          </w:tcPr>
          <w:p>
            <w:pPr>
              <w:spacing w:line="400" w:lineRule="exact"/>
              <w:rPr>
                <w:rFonts w:ascii="宋体" w:hAnsi="宋体" w:eastAsia="宋体" w:cs="Times New Roman"/>
                <w:b/>
                <w:color w:val="000000"/>
                <w:kern w:val="2"/>
                <w:sz w:val="21"/>
                <w:szCs w:val="21"/>
                <w:lang w:val="en-US" w:eastAsia="ja-JP" w:bidi="ar-SA"/>
              </w:rPr>
            </w:pPr>
            <w:r>
              <w:t>初级农产品（果蔬、冷鲜肉类、禽蛋）、预包装食品、散装食品的销售（限许可范围内）（不含超市零售）所涉及场所的相关职业健康安全管理活动</w:t>
            </w:r>
          </w:p>
        </w:tc>
        <w:tc>
          <w:tcPr>
            <w:tcW w:w="938"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GB/T45001-2020/ISO45001：20</w:t>
            </w:r>
            <w:r>
              <w:rPr>
                <w:rFonts w:hint="eastAsia" w:ascii="宋体" w:hAnsi="宋体"/>
                <w:b/>
                <w:sz w:val="21"/>
                <w:szCs w:val="21"/>
                <w:lang w:val="en-US" w:eastAsia="zh-CN"/>
              </w:rPr>
              <w:t>18</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ascii="宋体" w:hAnsi="宋体"/>
                <w:color w:val="000000"/>
                <w:spacing w:val="-10"/>
                <w:szCs w:val="21"/>
                <w:lang w:eastAsia="zh-CN"/>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663"/>
        <w:gridCol w:w="3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2663" w:type="dxa"/>
            <w:vAlign w:val="center"/>
          </w:tcPr>
          <w:p>
            <w:r>
              <w:rPr>
                <w:rFonts w:hint="eastAsia"/>
              </w:rPr>
              <w:t>审核员注册证书号</w:t>
            </w:r>
          </w:p>
        </w:tc>
        <w:tc>
          <w:tcPr>
            <w:tcW w:w="3386"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2663" w:type="dxa"/>
            <w:vAlign w:val="center"/>
          </w:tcPr>
          <w:p>
            <w:r>
              <w:t>2019-N1QMS-3093566</w:t>
            </w:r>
          </w:p>
          <w:p>
            <w:r>
              <w:t>2021-N1EMS-3093566</w:t>
            </w:r>
          </w:p>
          <w:p>
            <w:r>
              <w:t>2019-N1OHSMS-2093566</w:t>
            </w:r>
          </w:p>
        </w:tc>
        <w:tc>
          <w:tcPr>
            <w:tcW w:w="3386" w:type="dxa"/>
            <w:vAlign w:val="center"/>
          </w:tcPr>
          <w:p>
            <w:r>
              <w:t>Q:29.14.01,29.14.02,29.14.07</w:t>
            </w:r>
          </w:p>
          <w:p>
            <w:r>
              <w:t>E:29.14.01,29.14.02,29.14.07</w:t>
            </w:r>
          </w:p>
          <w:p>
            <w:r>
              <w:t>O:29.14.01,29.14.02,29.14.07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2663" w:type="dxa"/>
            <w:vAlign w:val="center"/>
          </w:tcPr>
          <w:p>
            <w:r>
              <w:t>2020-N1QMS-1262293</w:t>
            </w:r>
          </w:p>
          <w:p>
            <w:r>
              <w:t>2020-N1EMS-1262293</w:t>
            </w:r>
          </w:p>
        </w:tc>
        <w:tc>
          <w:tcPr>
            <w:tcW w:w="338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2663" w:type="dxa"/>
            <w:vAlign w:val="center"/>
          </w:tcPr>
          <w:p/>
        </w:tc>
        <w:tc>
          <w:tcPr>
            <w:tcW w:w="338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2663" w:type="dxa"/>
            <w:vAlign w:val="center"/>
          </w:tcPr>
          <w:p>
            <w:r>
              <w:rPr>
                <w:rFonts w:hint="eastAsia"/>
              </w:rPr>
              <w:t>工作单位</w:t>
            </w:r>
          </w:p>
        </w:tc>
        <w:tc>
          <w:tcPr>
            <w:tcW w:w="3386"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2663" w:type="dxa"/>
            <w:vAlign w:val="center"/>
          </w:tcPr>
          <w:p/>
        </w:tc>
        <w:tc>
          <w:tcPr>
            <w:tcW w:w="3386"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一阶段无问题整改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上次Q8.4，本次已完成整改，且无类似情况再次发生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sym w:font="Wingdings 2" w:char="00A3"/>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t>初级农产品（果蔬、冷鲜肉类、禽蛋）、预包装食品、散装食品的销售（限许可范围内）（不含超市零售）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vAlign w:val="center"/>
          </w:tcPr>
          <w:p>
            <w:pPr>
              <w:spacing w:line="400" w:lineRule="exact"/>
              <w:rPr>
                <w:rFonts w:ascii="宋体" w:hAnsi="宋体" w:eastAsia="宋体" w:cs="Times New Roman"/>
                <w:b/>
                <w:color w:val="000000"/>
                <w:kern w:val="2"/>
                <w:sz w:val="21"/>
                <w:szCs w:val="21"/>
                <w:lang w:val="en-US" w:eastAsia="ja-JP" w:bidi="ar-SA"/>
              </w:rPr>
            </w:pPr>
            <w:r>
              <w:t>初级农产品（果蔬、冷鲜肉类、禽蛋）、预包装食品、散装食品的销售（限许可范围内）（不含超市零售）所涉及场所的相关环境管理活动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center"/>
          </w:tcPr>
          <w:p>
            <w:pPr>
              <w:spacing w:line="400" w:lineRule="exact"/>
              <w:rPr>
                <w:rFonts w:ascii="宋体" w:hAnsi="宋体" w:eastAsia="宋体" w:cs="Times New Roman"/>
                <w:b/>
                <w:color w:val="000000"/>
                <w:kern w:val="2"/>
                <w:sz w:val="21"/>
                <w:szCs w:val="21"/>
                <w:lang w:val="en-US" w:eastAsia="ja-JP" w:bidi="ar-SA"/>
              </w:rPr>
            </w:pPr>
            <w:r>
              <w:t>初级农产品（果蔬、冷鲜肉类、禽蛋）、预包装食品、散装食品的销售（限许可范围内）（不含超市零售）所涉及场所的相关职业健康安全管理活动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b/>
                <w:sz w:val="22"/>
                <w:szCs w:val="22"/>
              </w:rPr>
              <w:drawing>
                <wp:anchor distT="0" distB="0" distL="114300" distR="114300" simplePos="0" relativeHeight="251661312" behindDoc="1" locked="0" layoutInCell="1" allowOverlap="1">
                  <wp:simplePos x="0" y="0"/>
                  <wp:positionH relativeFrom="column">
                    <wp:posOffset>310515</wp:posOffset>
                  </wp:positionH>
                  <wp:positionV relativeFrom="paragraph">
                    <wp:posOffset>365760</wp:posOffset>
                  </wp:positionV>
                  <wp:extent cx="401955" cy="361950"/>
                  <wp:effectExtent l="0" t="0" r="9525" b="381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401955" cy="361950"/>
                          </a:xfrm>
                          <a:prstGeom prst="rect">
                            <a:avLst/>
                          </a:prstGeom>
                          <a:noFill/>
                          <a:ln w="9525">
                            <a:noFill/>
                            <a:miter lim="800000"/>
                            <a:headEnd/>
                            <a:tailEnd/>
                          </a:ln>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2021.9.16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color w:val="000000"/>
                <w:szCs w:val="18"/>
                <w:u w:val="single"/>
              </w:rPr>
            </w:pPr>
            <w:r>
              <w:rPr>
                <w:rFonts w:hint="eastAsia"/>
              </w:rPr>
              <w:t>最高管理者制定了文件化的管理体系方针：</w:t>
            </w:r>
            <w:r>
              <w:rPr>
                <w:rFonts w:hint="eastAsia"/>
                <w:color w:val="000000"/>
                <w:szCs w:val="18"/>
                <w:u w:val="single"/>
              </w:rPr>
              <w:t>精益求精，创“鑫馨商贸”新优势；坚持走可持续发展之路，倡导绿色环保思想，遵守法律法规，从产品销售到服务的全过程中，实行污染预防和持续改进；保障健康、安全销售、以人为本、永续发展、遵守法规、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市场部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销售产品</w:t>
                  </w:r>
                  <w:r>
                    <w:rPr>
                      <w:rFonts w:hint="eastAsia" w:ascii="Times New Roman" w:hAnsi="Times New Roman" w:eastAsia="宋体" w:cs="Times New Roman"/>
                      <w:lang w:eastAsia="zh-CN"/>
                    </w:rPr>
                    <w:t>质量不良造成客户流失</w:t>
                  </w:r>
                </w:p>
              </w:tc>
              <w:tc>
                <w:tcPr>
                  <w:tcW w:w="3965" w:type="dxa"/>
                  <w:vAlign w:val="top"/>
                </w:tcPr>
                <w:p>
                  <w:pPr>
                    <w:pStyle w:val="25"/>
                    <w:snapToGrid w:val="0"/>
                    <w:ind w:left="106" w:leftChars="50" w:hanging="1"/>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1.销售管理部门需与客户沟通好服务质量要求，并编制作业指导书，确保公司与客户双方质量要求一致；</w:t>
                  </w:r>
                </w:p>
                <w:p>
                  <w:pPr>
                    <w:pStyle w:val="25"/>
                    <w:snapToGrid w:val="0"/>
                    <w:ind w:left="113" w:leftChars="54"/>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2.销售服务过程中落实全过程检验，合格后方可放行，并做好记录。</w:t>
                  </w:r>
                </w:p>
                <w:p>
                  <w:pPr>
                    <w:pStyle w:val="25"/>
                    <w:snapToGrid w:val="0"/>
                    <w:ind w:left="105" w:leftChars="50" w:firstLine="10" w:firstLineChars="5"/>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3.外购物资需做好检验、功能测试及检验或资质证明验证。</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4.负责销售的人员不定期拜访客户，沟通客户要求，确保服务质量满足客户要求。</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客户满意度≥96分</w:t>
                  </w:r>
                </w:p>
              </w:tc>
              <w:tc>
                <w:tcPr>
                  <w:tcW w:w="3136" w:type="dxa"/>
                  <w:shd w:val="clear" w:color="auto" w:fill="auto"/>
                  <w:vAlign w:val="center"/>
                </w:tcPr>
                <w:p>
                  <w:pPr>
                    <w:shd w:val="clear" w:color="auto" w:fill="C7DAF1" w:themeFill="text2" w:themeFillTint="32"/>
                    <w:rPr>
                      <w:lang w:val="en-GB"/>
                    </w:rPr>
                  </w:pPr>
                  <w:r>
                    <w:rPr>
                      <w:rFonts w:hint="eastAsia" w:ascii="Times New Roman" w:hAnsi="Times New Roman" w:eastAsia="宋体" w:cs="Times New Roman"/>
                      <w:color w:val="000000"/>
                      <w:szCs w:val="18"/>
                    </w:rPr>
                    <w:t>顾客满意度统计分析</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市场部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产品交付合格率100%</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产品交付合格数/产品交付数</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市场部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合同按时完成率100%</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合同按时完成数/合同完成数</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市场部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980</w:t>
            </w:r>
            <w:r>
              <w:rPr>
                <w:rFonts w:hint="eastAsia"/>
              </w:rPr>
              <w:t>平方米；生产车间个；库房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lang w:val="en-US" w:eastAsia="zh-CN"/>
              </w:rPr>
              <w:t xml:space="preserve">货车、电脑、打印机  </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color w:val="000000"/>
                <w:u w:val="single"/>
                <w:lang w:val="en-US" w:eastAsia="zh-CN"/>
              </w:rPr>
              <w:t>电子台秤、农药残留测试仪等</w:t>
            </w:r>
            <w:r>
              <w:rPr>
                <w:rFonts w:hint="eastAsia"/>
                <w:u w:val="single"/>
              </w:rPr>
              <w:t xml:space="preserve">                            （列举1~4种）</w:t>
            </w:r>
          </w:p>
          <w:p>
            <w:pPr>
              <w:shd w:val="clear" w:color="auto" w:fill="C7DAF1" w:themeFill="text2" w:themeFillTint="32"/>
              <w:rPr>
                <w:rFonts w:ascii="Times New Roman" w:hAnsi="Times New Roman" w:eastAsia="宋体" w:cs="Times New Roman"/>
                <w:kern w:val="2"/>
                <w:sz w:val="21"/>
                <w:szCs w:val="24"/>
                <w:u w:val="single"/>
                <w:lang w:val="en-US" w:eastAsia="zh-CN" w:bidi="ar-SA"/>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sz w:val="20"/>
                      <w:szCs w:val="22"/>
                      <w:highlight w:val="none"/>
                    </w:rPr>
                  </w:pPr>
                  <w:r>
                    <w:rPr>
                      <w:rFonts w:hint="eastAsia"/>
                      <w:sz w:val="20"/>
                      <w:szCs w:val="22"/>
                      <w:highlight w:val="none"/>
                    </w:rPr>
                    <w:t>产品/服务名称</w:t>
                  </w:r>
                </w:p>
              </w:tc>
              <w:tc>
                <w:tcPr>
                  <w:tcW w:w="3665" w:type="dxa"/>
                </w:tcPr>
                <w:p>
                  <w:pPr>
                    <w:shd w:val="clear" w:color="auto" w:fill="C7DAF1" w:themeFill="text2" w:themeFillTint="32"/>
                    <w:jc w:val="left"/>
                    <w:rPr>
                      <w:sz w:val="20"/>
                      <w:szCs w:val="22"/>
                      <w:highlight w:val="none"/>
                    </w:rPr>
                  </w:pPr>
                  <w:r>
                    <w:rPr>
                      <w:rFonts w:hint="eastAsia"/>
                      <w:sz w:val="20"/>
                      <w:szCs w:val="22"/>
                      <w:highlight w:val="none"/>
                    </w:rPr>
                    <w:t>关键过程</w:t>
                  </w:r>
                </w:p>
              </w:tc>
              <w:tc>
                <w:tcPr>
                  <w:tcW w:w="3265" w:type="dxa"/>
                </w:tcPr>
                <w:p>
                  <w:pPr>
                    <w:shd w:val="clear" w:color="auto" w:fill="C7DAF1" w:themeFill="text2" w:themeFillTint="32"/>
                    <w:jc w:val="left"/>
                    <w:rPr>
                      <w:sz w:val="20"/>
                      <w:szCs w:val="22"/>
                      <w:highlight w:val="none"/>
                    </w:rPr>
                  </w:pPr>
                  <w:r>
                    <w:rPr>
                      <w:rFonts w:hint="eastAsia"/>
                      <w:sz w:val="20"/>
                      <w:szCs w:val="22"/>
                      <w:highlight w:val="none"/>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sz w:val="20"/>
                      <w:szCs w:val="22"/>
                      <w:highlight w:val="none"/>
                      <w:lang w:val="en-US" w:eastAsia="zh-CN"/>
                    </w:rPr>
                  </w:pPr>
                  <w:r>
                    <w:rPr>
                      <w:rFonts w:hint="eastAsia"/>
                      <w:sz w:val="20"/>
                      <w:szCs w:val="22"/>
                      <w:highlight w:val="none"/>
                      <w:lang w:val="en-US" w:eastAsia="zh-CN"/>
                    </w:rPr>
                    <w:t>销售服务</w:t>
                  </w:r>
                </w:p>
              </w:tc>
              <w:tc>
                <w:tcPr>
                  <w:tcW w:w="3665" w:type="dxa"/>
                </w:tcPr>
                <w:p>
                  <w:pPr>
                    <w:shd w:val="clear" w:color="auto" w:fill="C7DAF1" w:themeFill="text2" w:themeFillTint="32"/>
                    <w:jc w:val="left"/>
                    <w:rPr>
                      <w:rFonts w:hint="eastAsia" w:eastAsia="宋体"/>
                      <w:sz w:val="20"/>
                      <w:szCs w:val="22"/>
                      <w:highlight w:val="none"/>
                      <w:lang w:val="en-US" w:eastAsia="zh-CN"/>
                    </w:rPr>
                  </w:pPr>
                  <w:r>
                    <w:rPr>
                      <w:rFonts w:hint="eastAsia"/>
                      <w:sz w:val="20"/>
                      <w:szCs w:val="22"/>
                      <w:highlight w:val="none"/>
                      <w:lang w:val="en-US" w:eastAsia="zh-CN"/>
                    </w:rPr>
                    <w:t>销售过程</w:t>
                  </w:r>
                </w:p>
              </w:tc>
              <w:tc>
                <w:tcPr>
                  <w:tcW w:w="3265" w:type="dxa"/>
                </w:tcPr>
                <w:p>
                  <w:pPr>
                    <w:shd w:val="clear" w:color="auto" w:fill="C7DAF1" w:themeFill="text2" w:themeFillTint="32"/>
                    <w:jc w:val="left"/>
                    <w:rPr>
                      <w:rFonts w:hint="default" w:eastAsia="宋体"/>
                      <w:sz w:val="20"/>
                      <w:szCs w:val="22"/>
                      <w:highlight w:val="none"/>
                      <w:lang w:val="en-US" w:eastAsia="zh-CN"/>
                    </w:rPr>
                  </w:pPr>
                  <w:r>
                    <w:rPr>
                      <w:rFonts w:hint="eastAsia"/>
                      <w:sz w:val="20"/>
                      <w:szCs w:val="22"/>
                      <w:highlight w:val="none"/>
                      <w:lang w:val="en-US" w:eastAsia="zh-CN"/>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sz w:val="20"/>
                      <w:szCs w:val="22"/>
                      <w:highlight w:val="none"/>
                    </w:rPr>
                  </w:pPr>
                </w:p>
              </w:tc>
              <w:tc>
                <w:tcPr>
                  <w:tcW w:w="3665" w:type="dxa"/>
                </w:tcPr>
                <w:p>
                  <w:pPr>
                    <w:shd w:val="clear" w:color="auto" w:fill="C7DAF1" w:themeFill="text2" w:themeFillTint="32"/>
                    <w:jc w:val="left"/>
                    <w:rPr>
                      <w:sz w:val="20"/>
                      <w:szCs w:val="22"/>
                      <w:highlight w:val="none"/>
                    </w:rPr>
                  </w:pPr>
                </w:p>
              </w:tc>
              <w:tc>
                <w:tcPr>
                  <w:tcW w:w="3265" w:type="dxa"/>
                </w:tcPr>
                <w:p>
                  <w:pPr>
                    <w:shd w:val="clear" w:color="auto" w:fill="C7DAF1" w:themeFill="text2" w:themeFillTint="32"/>
                    <w:jc w:val="left"/>
                    <w:rPr>
                      <w:sz w:val="20"/>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sz w:val="20"/>
                      <w:szCs w:val="22"/>
                      <w:highlight w:val="none"/>
                    </w:rPr>
                  </w:pPr>
                </w:p>
              </w:tc>
              <w:tc>
                <w:tcPr>
                  <w:tcW w:w="3665" w:type="dxa"/>
                </w:tcPr>
                <w:p>
                  <w:pPr>
                    <w:shd w:val="clear" w:color="auto" w:fill="C7DAF1" w:themeFill="text2" w:themeFillTint="32"/>
                    <w:jc w:val="left"/>
                    <w:rPr>
                      <w:sz w:val="20"/>
                      <w:szCs w:val="22"/>
                      <w:highlight w:val="none"/>
                    </w:rPr>
                  </w:pPr>
                </w:p>
              </w:tc>
              <w:tc>
                <w:tcPr>
                  <w:tcW w:w="3265" w:type="dxa"/>
                </w:tcPr>
                <w:p>
                  <w:pPr>
                    <w:shd w:val="clear" w:color="auto" w:fill="C7DAF1" w:themeFill="text2" w:themeFillTint="32"/>
                    <w:jc w:val="left"/>
                    <w:rPr>
                      <w:sz w:val="20"/>
                      <w:szCs w:val="22"/>
                      <w:highlight w:val="none"/>
                    </w:rPr>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Times New Roman" w:hAnsi="Times New Roman" w:eastAsia="宋体" w:cs="Times New Roman"/>
                <w:color w:val="000000"/>
                <w:u w:val="single"/>
                <w:lang w:val="en-US" w:eastAsia="zh-CN"/>
              </w:rPr>
              <w:t>服务过程</w:t>
            </w:r>
            <w:r>
              <w:rPr>
                <w:rFonts w:hint="eastAsia" w:ascii="Times New Roman" w:hAnsi="Times New Roman" w:eastAsia="宋体" w:cs="Times New Roman"/>
                <w:color w:val="000000"/>
                <w:u w:val="single"/>
              </w:rPr>
              <w:t xml:space="preserve"> </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提供过程确认记录</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提供有测绘报告</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rPr>
              <w:t>月</w:t>
            </w:r>
            <w:r>
              <w:rPr>
                <w:rFonts w:hint="eastAsia"/>
                <w:u w:val="single"/>
              </w:rPr>
              <w:t xml:space="preserve"> </w:t>
            </w:r>
            <w:r>
              <w:rPr>
                <w:rFonts w:hint="eastAsia"/>
                <w:u w:val="single"/>
                <w:lang w:val="en-US" w:eastAsia="zh-CN"/>
              </w:rPr>
              <w:t>13-14</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29</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政治 □监管  □财务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营销和市场□生产□检验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color w:val="000000"/>
                <w:szCs w:val="18"/>
                <w:u w:val="single"/>
              </w:rPr>
              <w:t>精益求精，创“鑫馨商贸”新优势；坚持走可持续发展之路，倡导绿色环保思想，遵守法律法规，从产品销售到服务的全过程中，实行污染预防和持续改进；保障健康、安全销售、以人为本、永续发展、遵守法规、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人事部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lang w:val="en-US" w:eastAsia="zh-CN"/>
                    </w:rPr>
                    <w:t>办公废弃物分类收集处理率100%</w:t>
                  </w:r>
                </w:p>
              </w:tc>
              <w:tc>
                <w:tcPr>
                  <w:tcW w:w="3136"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分类收集</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人事部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r>
                    <w:rPr>
                      <w:rFonts w:hint="eastAsia"/>
                      <w:lang w:val="en-US" w:eastAsia="zh-CN"/>
                    </w:rPr>
                    <w:t>火灾发生为0</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控制环境因素</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人事部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lang w:val="en-US" w:eastAsia="zh-CN"/>
                    </w:rPr>
                    <w:t>环境扰民投诉为0</w:t>
                  </w:r>
                </w:p>
              </w:tc>
              <w:tc>
                <w:tcPr>
                  <w:tcW w:w="3136" w:type="dxa"/>
                  <w:shd w:val="clear" w:color="auto" w:fill="auto"/>
                  <w:vAlign w:val="center"/>
                </w:tcPr>
                <w:p>
                  <w:pPr>
                    <w:shd w:val="clear" w:color="auto" w:fill="EBF1DE" w:themeFill="accent3" w:themeFillTint="32"/>
                    <w:rPr>
                      <w:rFonts w:ascii="宋体" w:hAnsi="宋体"/>
                    </w:rPr>
                  </w:pPr>
                  <w:r>
                    <w:rPr>
                      <w:rFonts w:hint="eastAsia" w:ascii="宋体" w:hAnsi="宋体"/>
                      <w:lang w:val="en-US" w:eastAsia="zh-CN"/>
                    </w:rPr>
                    <w:t>控制环境因素</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人事部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600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color w:val="000000"/>
                <w:highlight w:val="none"/>
                <w:u w:val="single"/>
              </w:rPr>
              <w:t xml:space="preserve"> </w:t>
            </w:r>
            <w:r>
              <w:rPr>
                <w:rFonts w:hint="eastAsia"/>
                <w:color w:val="000000"/>
                <w:highlight w:val="none"/>
                <w:u w:val="single"/>
                <w:lang w:val="en-US" w:eastAsia="zh-CN"/>
              </w:rPr>
              <w:t>货车、电脑、打印机等</w:t>
            </w:r>
            <w:r>
              <w:rPr>
                <w:color w:val="000000"/>
                <w:highlight w:val="none"/>
                <w:u w:val="single"/>
              </w:rPr>
              <w:t xml:space="preserve"> </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喷淋设备、</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shd w:val="clear" w:color="auto" w:fill="EBF1DE" w:themeFill="accent3" w:themeFillTint="32"/>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sym w:font="Wingdings 2" w:char="0052"/>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color w:val="000000"/>
                <w:highlight w:val="none"/>
                <w:u w:val="single"/>
                <w:lang w:val="en-US" w:eastAsia="zh-CN"/>
              </w:rPr>
              <w:t>电子台秤、农药残留测试仪等</w:t>
            </w:r>
            <w:r>
              <w:rPr>
                <w:rFonts w:hint="eastAsia"/>
                <w:u w:val="single"/>
              </w:rPr>
              <w:t>（列举1~4种）</w:t>
            </w:r>
          </w:p>
          <w:p>
            <w:pPr>
              <w:shd w:val="clear" w:color="auto" w:fill="EBF1DE" w:themeFill="accent3" w:themeFillTint="32"/>
              <w:rPr>
                <w:rFonts w:ascii="Times New Roman" w:hAnsi="Times New Roman" w:eastAsia="宋体" w:cs="Times New Roman"/>
                <w:kern w:val="2"/>
                <w:sz w:val="21"/>
                <w:szCs w:val="24"/>
                <w:u w:val="single"/>
                <w:lang w:val="en-US" w:eastAsia="zh-CN" w:bidi="ar-SA"/>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r>
                    <w:rPr>
                      <w:rFonts w:hint="eastAsia" w:ascii="宋体" w:hAnsi="宋体"/>
                      <w:szCs w:val="21"/>
                    </w:rPr>
                    <w:t>环境管理方案、运行控制程序</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vAlign w:val="center"/>
                </w:tcPr>
                <w:p>
                  <w:pPr>
                    <w:spacing w:line="360" w:lineRule="exact"/>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28</w:t>
            </w:r>
            <w:r>
              <w:rPr>
                <w:rFonts w:hint="eastAsia"/>
              </w:rPr>
              <w:t>日进行了</w:t>
            </w:r>
            <w:r>
              <w:rPr>
                <w:rFonts w:hint="eastAsia"/>
                <w:u w:val="single"/>
              </w:rPr>
              <w:t xml:space="preserve">  </w:t>
            </w:r>
            <w:r>
              <w:rPr>
                <w:rFonts w:hint="eastAsia"/>
                <w:u w:val="single"/>
                <w:lang w:val="en-US" w:eastAsia="zh-CN"/>
              </w:rPr>
              <w:t>火灾应急</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31</w:t>
            </w:r>
            <w:r>
              <w:rPr>
                <w:rFonts w:hint="eastAsia"/>
                <w:u w:val="single"/>
              </w:rPr>
              <w:t xml:space="preserve"> </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13-14</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29</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w:t>
            </w:r>
            <w:r>
              <w:rPr>
                <w:rFonts w:hint="eastAsia"/>
              </w:rPr>
              <w:t>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color w:val="000000"/>
                <w:szCs w:val="18"/>
                <w:u w:val="single"/>
              </w:rPr>
              <w:t>精益求精，创“鑫馨商贸”新优势；坚持走可持续发展之路，倡导绿色环保思想，遵守法律法规，从产品销售到服务的全过程中，实行污染预防和持续改进；保障健康、安全销售、以人为本、永续发展、遵守法规、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人事部</w:t>
            </w:r>
          </w:p>
          <w:p>
            <w:pPr>
              <w:rPr>
                <w:rFonts w:hint="eastAsia" w:eastAsia="宋体"/>
                <w:lang w:val="en-US" w:eastAsia="zh-CN"/>
              </w:rPr>
            </w:pPr>
            <w:r>
              <w:rPr>
                <w:rFonts w:hint="eastAsia"/>
              </w:rPr>
              <w:t>安全的主管部门是——</w:t>
            </w:r>
            <w:r>
              <w:rPr>
                <w:rFonts w:hint="eastAsia"/>
                <w:lang w:val="en-US" w:eastAsia="zh-CN"/>
              </w:rPr>
              <w:t>人事部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张佩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办公过程火灾触电</w:t>
                  </w:r>
                </w:p>
              </w:tc>
              <w:tc>
                <w:tcPr>
                  <w:tcW w:w="3965" w:type="dxa"/>
                </w:tcPr>
                <w:p>
                  <w:pPr>
                    <w:rPr>
                      <w:rFonts w:hint="default" w:eastAsia="宋体"/>
                      <w:lang w:val="en-US" w:eastAsia="zh-CN"/>
                    </w:rPr>
                  </w:pPr>
                  <w:r>
                    <w:rPr>
                      <w:rFonts w:hint="eastAsia"/>
                      <w:lang w:val="en-US" w:eastAsia="zh-CN"/>
                    </w:rPr>
                    <w:t>加强检查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销售过程交通事故，物体打击</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制定安全操作规程、安全措施并严格执行</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54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重大安全事故和伤亡事故为0</w:t>
                  </w:r>
                </w:p>
              </w:tc>
              <w:tc>
                <w:tcPr>
                  <w:tcW w:w="3136" w:type="dxa"/>
                  <w:shd w:val="clear" w:color="auto" w:fill="auto"/>
                  <w:vAlign w:val="center"/>
                </w:tcPr>
                <w:p>
                  <w:pPr>
                    <w:rPr>
                      <w:rFonts w:hint="default" w:eastAsia="宋体"/>
                      <w:lang w:val="en-US" w:eastAsia="zh-CN"/>
                    </w:rPr>
                  </w:pPr>
                  <w:r>
                    <w:rPr>
                      <w:rFonts w:hint="eastAsia"/>
                      <w:lang w:val="en-US" w:eastAsia="zh-CN"/>
                    </w:rPr>
                    <w:t>培训、宣传、管理方案</w:t>
                  </w:r>
                </w:p>
              </w:tc>
              <w:tc>
                <w:tcPr>
                  <w:tcW w:w="1350" w:type="dxa"/>
                  <w:shd w:val="clear" w:color="auto" w:fill="auto"/>
                  <w:vAlign w:val="center"/>
                </w:tcPr>
                <w:p>
                  <w:pPr>
                    <w:rPr>
                      <w:rFonts w:hint="eastAsia" w:eastAsia="宋体"/>
                      <w:lang w:val="en-US" w:eastAsia="zh-CN"/>
                    </w:rPr>
                  </w:pPr>
                  <w:r>
                    <w:rPr>
                      <w:rFonts w:hint="eastAsia"/>
                      <w:lang w:val="en-US" w:eastAsia="zh-CN"/>
                    </w:rPr>
                    <w:t>人事部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火灾事故为0</w:t>
                  </w:r>
                </w:p>
              </w:tc>
              <w:tc>
                <w:tcPr>
                  <w:tcW w:w="3136" w:type="dxa"/>
                  <w:shd w:val="clear" w:color="auto" w:fill="auto"/>
                  <w:vAlign w:val="center"/>
                </w:tcPr>
                <w:p>
                  <w:pPr>
                    <w:rPr>
                      <w:rFonts w:hint="default" w:ascii="宋体" w:hAnsi="宋体"/>
                      <w:lang w:val="en-US"/>
                    </w:rPr>
                  </w:pPr>
                  <w:r>
                    <w:rPr>
                      <w:rFonts w:hint="eastAsia"/>
                      <w:lang w:val="en-US" w:eastAsia="zh-CN"/>
                    </w:rPr>
                    <w:t>培训、宣传、管理方案、演练</w:t>
                  </w:r>
                </w:p>
              </w:tc>
              <w:tc>
                <w:tcPr>
                  <w:tcW w:w="1350"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人事部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pPr>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pPr>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600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color w:val="000000"/>
                <w:highlight w:val="none"/>
                <w:u w:val="single"/>
                <w:lang w:val="en-US" w:eastAsia="zh-CN"/>
              </w:rPr>
              <w:t>货车、电脑等</w:t>
            </w:r>
            <w:r>
              <w:rPr>
                <w:rFonts w:hint="eastAsia"/>
                <w:u w:val="single"/>
              </w:rPr>
              <w:t xml:space="preserve"> （列举2~4种）</w:t>
            </w:r>
          </w:p>
          <w:p>
            <w:r>
              <w:rPr>
                <w:rFonts w:hint="eastAsia"/>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sym w:font="Wingdings 2" w:char="0052"/>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rFonts w:ascii="Times New Roman" w:hAnsi="Times New Roman" w:eastAsia="宋体" w:cs="Times New Roman"/>
                <w:kern w:val="2"/>
                <w:sz w:val="21"/>
                <w:szCs w:val="24"/>
                <w:u w:val="single"/>
                <w:lang w:val="en-US" w:eastAsia="zh-CN" w:bidi="ar-SA"/>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pPr>
              <w:rPr>
                <w:rFonts w:ascii="Times New Roman" w:hAnsi="Times New Roman" w:eastAsia="宋体" w:cs="Times New Roman"/>
                <w:kern w:val="2"/>
                <w:sz w:val="21"/>
                <w:szCs w:val="24"/>
                <w:lang w:val="en-US" w:eastAsia="zh-CN" w:bidi="ar-SA"/>
              </w:rPr>
            </w:pPr>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pPr>
              <w:rPr>
                <w:rFonts w:ascii="Times New Roman" w:hAnsi="Times New Roman" w:eastAsia="宋体" w:cs="Times New Roman"/>
                <w:kern w:val="2"/>
                <w:sz w:val="21"/>
                <w:szCs w:val="24"/>
                <w:lang w:val="en-US" w:eastAsia="zh-CN" w:bidi="ar-SA"/>
              </w:rPr>
            </w:pPr>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pPr>
              <w:rPr>
                <w:rFonts w:ascii="Times New Roman" w:hAnsi="Times New Roman" w:eastAsia="宋体" w:cs="Times New Roman"/>
                <w:kern w:val="2"/>
                <w:sz w:val="21"/>
                <w:szCs w:val="24"/>
                <w:lang w:val="en-US" w:eastAsia="zh-CN" w:bidi="ar-SA"/>
              </w:rPr>
            </w:pPr>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 xml:space="preserve">漏电保护 </w:t>
                  </w:r>
                  <w:r>
                    <w:rPr>
                      <w:rFonts w:hint="eastAsia"/>
                      <w:lang w:eastAsia="zh-CN"/>
                    </w:rPr>
                    <w:t>☑</w:t>
                  </w:r>
                  <w:r>
                    <w:rPr>
                      <w:rFonts w:hint="eastAsia"/>
                    </w:rPr>
                    <w:t>绝缘用具检测</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rPr>
                <w:rFonts w:ascii="Times New Roman" w:hAnsi="Times New Roman" w:eastAsia="宋体" w:cs="Times New Roman"/>
                <w:kern w:val="2"/>
                <w:sz w:val="21"/>
                <w:szCs w:val="24"/>
                <w:lang w:val="en-US" w:eastAsia="zh-CN" w:bidi="ar-SA"/>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rPr>
                <w:rFonts w:ascii="Times New Roman" w:hAnsi="Times New Roman" w:eastAsia="宋体" w:cs="Times New Roman"/>
                <w:kern w:val="2"/>
                <w:sz w:val="21"/>
                <w:szCs w:val="24"/>
                <w:lang w:val="en-US" w:eastAsia="zh-CN" w:bidi="ar-SA"/>
              </w:rPr>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组织应在生产和服务提供期间对危化品的采购、运输、使用、储存的危险源进行控制，以确保符合MSDS和法规要求。 </w:t>
            </w:r>
          </w:p>
          <w:p>
            <w:pPr>
              <w:jc w:val="left"/>
              <w:rPr>
                <w:rFonts w:ascii="Times New Roman" w:hAnsi="Times New Roman" w:eastAsia="宋体" w:cs="Times New Roman"/>
                <w:kern w:val="2"/>
                <w:sz w:val="21"/>
                <w:szCs w:val="24"/>
                <w:lang w:val="en-US" w:eastAsia="zh-CN" w:bidi="ar-SA"/>
              </w:rPr>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 xml:space="preserve">5 </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pPr>
              <w:rPr>
                <w:rFonts w:ascii="Times New Roman" w:hAnsi="Times New Roman" w:eastAsia="宋体" w:cs="Times New Roman"/>
                <w:kern w:val="2"/>
                <w:sz w:val="21"/>
                <w:szCs w:val="24"/>
                <w:lang w:val="en-US" w:eastAsia="zh-CN" w:bidi="ar-SA"/>
              </w:rPr>
            </w:pPr>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vAlign w:val="top"/>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31</w:t>
            </w:r>
            <w:r>
              <w:rPr>
                <w:rFonts w:hint="eastAsia"/>
                <w:u w:val="single"/>
              </w:rPr>
              <w:t xml:space="preserve"> </w:t>
            </w:r>
            <w:r>
              <w:rPr>
                <w:rFonts w:hint="eastAsia"/>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rPr>
                <w:rFonts w:ascii="Times New Roman" w:hAnsi="Times New Roman" w:eastAsia="宋体" w:cs="Times New Roman"/>
                <w:kern w:val="2"/>
                <w:sz w:val="21"/>
                <w:szCs w:val="24"/>
                <w:lang w:val="en-US" w:eastAsia="zh-CN" w:bidi="ar-S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pPr>
              <w:rPr>
                <w:rFonts w:ascii="Times New Roman" w:hAnsi="Times New Roman" w:eastAsia="宋体" w:cs="Times New Roman"/>
                <w:kern w:val="2"/>
                <w:sz w:val="21"/>
                <w:szCs w:val="24"/>
                <w:lang w:val="en-US" w:eastAsia="zh-CN" w:bidi="ar-SA"/>
              </w:rPr>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13-14</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pPr>
              <w:rPr>
                <w:rFonts w:ascii="Times New Roman" w:hAnsi="Times New Roman" w:eastAsia="宋体" w:cs="Times New Roman"/>
                <w:kern w:val="2"/>
                <w:sz w:val="21"/>
                <w:szCs w:val="24"/>
                <w:lang w:val="en-US" w:eastAsia="zh-CN" w:bidi="ar-SA"/>
              </w:rPr>
            </w:pPr>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29 </w:t>
            </w:r>
            <w:r>
              <w:rPr>
                <w:rFonts w:hint="eastAsia"/>
              </w:rPr>
              <w:t>日对组织的职业健康安全管理体系进行了评审，以确保其持续的适宜性、充分性和有效性；管理评审输入、输出均按要求提供。并对提出的改进措施进行了落实。</w:t>
            </w:r>
          </w:p>
          <w:p/>
          <w:p>
            <w:pPr>
              <w:rPr>
                <w:rFonts w:ascii="Times New Roman" w:hAnsi="Times New Roman" w:eastAsia="宋体" w:cs="Times New Roman"/>
                <w:kern w:val="2"/>
                <w:sz w:val="21"/>
                <w:szCs w:val="24"/>
                <w:lang w:val="en-US" w:eastAsia="zh-CN" w:bidi="ar-SA"/>
              </w:rPr>
            </w:pPr>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vAlign w:val="top"/>
          </w:tcPr>
          <w:p>
            <w:r>
              <w:rPr>
                <w:rFonts w:hint="eastAsia"/>
              </w:rPr>
              <w:t>组织已确定和选择改进机会，并采取必要措施改进职业健康安全管理体系，实现其职业健康安全管理体系的预期结果。</w:t>
            </w:r>
          </w:p>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 。</w:t>
            </w:r>
          </w:p>
          <w:p>
            <w:pPr>
              <w:rPr>
                <w:rFonts w:ascii="Times New Roman" w:hAnsi="Times New Roman" w:eastAsia="宋体" w:cs="Times New Roman"/>
                <w:kern w:val="2"/>
                <w:sz w:val="21"/>
                <w:szCs w:val="24"/>
                <w:lang w:val="en-US" w:eastAsia="zh-CN" w:bidi="ar-SA"/>
              </w:rPr>
            </w:pPr>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9A6B54"/>
    <w:rsid w:val="65A46B02"/>
    <w:rsid w:val="6B4648DB"/>
    <w:rsid w:val="786975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0</TotalTime>
  <ScaleCrop>false</ScaleCrop>
  <LinksUpToDate>false</LinksUpToDate>
  <CharactersWithSpaces>21158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2021-09-15T07:41:34Z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