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4"/>
        <w:gridCol w:w="926"/>
        <w:gridCol w:w="15"/>
        <w:gridCol w:w="747"/>
        <w:gridCol w:w="9254"/>
        <w:gridCol w:w="59"/>
        <w:gridCol w:w="153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15" w:hRule="atLeast"/>
        </w:trPr>
        <w:tc>
          <w:tcPr>
            <w:tcW w:w="2182"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1"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vAlign w:val="center"/>
          </w:tcPr>
          <w:p>
            <w:pPr>
              <w:rPr>
                <w:sz w:val="24"/>
                <w:szCs w:val="24"/>
              </w:rPr>
            </w:pPr>
            <w:r>
              <w:rPr>
                <w:rFonts w:hint="eastAsia"/>
                <w:sz w:val="24"/>
                <w:szCs w:val="24"/>
              </w:rPr>
              <w:t>受审核部门：服务部</w:t>
            </w:r>
            <w:r>
              <w:rPr>
                <w:sz w:val="24"/>
                <w:szCs w:val="24"/>
              </w:rPr>
              <w:t xml:space="preserve">    </w:t>
            </w:r>
            <w:r>
              <w:rPr>
                <w:rFonts w:hint="eastAsia"/>
                <w:sz w:val="24"/>
                <w:szCs w:val="24"/>
              </w:rPr>
              <w:t>负责人：董长玲</w:t>
            </w:r>
            <w:r>
              <w:rPr>
                <w:sz w:val="24"/>
                <w:szCs w:val="24"/>
              </w:rPr>
              <w:t xml:space="preserve">     </w:t>
            </w:r>
            <w:r>
              <w:rPr>
                <w:rFonts w:hint="eastAsia"/>
                <w:sz w:val="24"/>
                <w:szCs w:val="24"/>
              </w:rPr>
              <w:t xml:space="preserve"> </w:t>
            </w:r>
            <w:r>
              <w:rPr>
                <w:sz w:val="24"/>
                <w:szCs w:val="24"/>
              </w:rPr>
              <w:t xml:space="preserve"> </w:t>
            </w:r>
            <w:r>
              <w:rPr>
                <w:rFonts w:hint="eastAsia"/>
                <w:sz w:val="24"/>
                <w:szCs w:val="24"/>
              </w:rPr>
              <w:t>陪同人员：吴佩萍</w:t>
            </w:r>
          </w:p>
        </w:tc>
        <w:tc>
          <w:tcPr>
            <w:tcW w:w="158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03" w:hRule="atLeast"/>
        </w:trPr>
        <w:tc>
          <w:tcPr>
            <w:tcW w:w="2182" w:type="dxa"/>
            <w:gridSpan w:val="2"/>
            <w:vMerge w:val="continue"/>
            <w:vAlign w:val="center"/>
          </w:tcPr>
          <w:p/>
        </w:tc>
        <w:tc>
          <w:tcPr>
            <w:tcW w:w="941" w:type="dxa"/>
            <w:gridSpan w:val="2"/>
            <w:vMerge w:val="continue"/>
            <w:vAlign w:val="center"/>
          </w:tcPr>
          <w:p/>
        </w:tc>
        <w:tc>
          <w:tcPr>
            <w:tcW w:w="10001" w:type="dxa"/>
            <w:gridSpan w:val="2"/>
            <w:vAlign w:val="center"/>
          </w:tcPr>
          <w:p>
            <w:pPr>
              <w:spacing w:before="120"/>
            </w:pPr>
            <w:r>
              <w:rPr>
                <w:rFonts w:hint="eastAsia"/>
                <w:sz w:val="24"/>
                <w:szCs w:val="24"/>
              </w:rPr>
              <w:t>审核员：肖新龙</w:t>
            </w:r>
            <w:r>
              <w:rPr>
                <w:sz w:val="24"/>
                <w:szCs w:val="24"/>
              </w:rPr>
              <w:t xml:space="preserve">             </w:t>
            </w:r>
            <w:r>
              <w:rPr>
                <w:rFonts w:hint="eastAsia"/>
                <w:sz w:val="24"/>
                <w:szCs w:val="24"/>
              </w:rPr>
              <w:t>审核日期：2</w:t>
            </w:r>
            <w:r>
              <w:rPr>
                <w:sz w:val="24"/>
                <w:szCs w:val="24"/>
              </w:rPr>
              <w:t>02</w:t>
            </w:r>
            <w:r>
              <w:rPr>
                <w:rFonts w:hint="eastAsia"/>
                <w:sz w:val="24"/>
                <w:szCs w:val="24"/>
              </w:rPr>
              <w:t>1-0</w:t>
            </w:r>
            <w:r>
              <w:rPr>
                <w:sz w:val="24"/>
                <w:szCs w:val="24"/>
              </w:rPr>
              <w:t>9</w:t>
            </w:r>
            <w:r>
              <w:rPr>
                <w:rFonts w:hint="eastAsia"/>
                <w:sz w:val="24"/>
                <w:szCs w:val="24"/>
              </w:rPr>
              <w:t>-</w:t>
            </w:r>
            <w:r>
              <w:rPr>
                <w:sz w:val="24"/>
                <w:szCs w:val="24"/>
              </w:rPr>
              <w:t>18</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16" w:hRule="atLeast"/>
        </w:trPr>
        <w:tc>
          <w:tcPr>
            <w:tcW w:w="2182" w:type="dxa"/>
            <w:gridSpan w:val="2"/>
            <w:vMerge w:val="continue"/>
            <w:vAlign w:val="center"/>
          </w:tcPr>
          <w:p/>
        </w:tc>
        <w:tc>
          <w:tcPr>
            <w:tcW w:w="941" w:type="dxa"/>
            <w:gridSpan w:val="2"/>
            <w:vMerge w:val="continue"/>
            <w:vAlign w:val="center"/>
          </w:tcPr>
          <w:p/>
        </w:tc>
        <w:tc>
          <w:tcPr>
            <w:tcW w:w="10001" w:type="dxa"/>
            <w:gridSpan w:val="2"/>
            <w:vAlign w:val="center"/>
          </w:tcPr>
          <w:p>
            <w:pPr>
              <w:spacing w:line="300" w:lineRule="exact"/>
              <w:rPr>
                <w:szCs w:val="22"/>
              </w:rPr>
            </w:pPr>
            <w:r>
              <w:rPr>
                <w:rFonts w:hint="eastAsia"/>
              </w:rPr>
              <w:t>审核条款：FSMS:</w:t>
            </w:r>
            <w:r>
              <w:rPr>
                <w:rFonts w:hint="eastAsia"/>
                <w:szCs w:val="21"/>
              </w:rPr>
              <w:t xml:space="preserve"> 5.3/6.2/7.4/</w:t>
            </w:r>
            <w:r>
              <w:rPr>
                <w:szCs w:val="21"/>
              </w:rPr>
              <w:t>8.2.4/</w:t>
            </w:r>
            <w:r>
              <w:rPr>
                <w:rFonts w:hint="eastAsia"/>
                <w:szCs w:val="21"/>
              </w:rPr>
              <w:t>8.9.5</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43" w:hRule="atLeast"/>
        </w:trPr>
        <w:tc>
          <w:tcPr>
            <w:tcW w:w="2182" w:type="dxa"/>
            <w:gridSpan w:val="2"/>
            <w:vMerge w:val="restart"/>
          </w:tcPr>
          <w:p>
            <w:r>
              <w:rPr>
                <w:rFonts w:hint="eastAsia"/>
              </w:rPr>
              <w:t>组织的角色、职责和权限</w:t>
            </w:r>
          </w:p>
          <w:p/>
        </w:tc>
        <w:tc>
          <w:tcPr>
            <w:tcW w:w="941" w:type="dxa"/>
            <w:gridSpan w:val="2"/>
            <w:vMerge w:val="restart"/>
          </w:tcPr>
          <w:p>
            <w:r>
              <w:rPr>
                <w:rFonts w:hint="eastAsia"/>
              </w:rPr>
              <w:t>F5.3</w:t>
            </w:r>
          </w:p>
          <w:p/>
        </w:tc>
        <w:tc>
          <w:tcPr>
            <w:tcW w:w="747" w:type="dxa"/>
          </w:tcPr>
          <w:p>
            <w:r>
              <w:rPr>
                <w:rFonts w:hint="eastAsia"/>
              </w:rPr>
              <w:t>文件名称</w:t>
            </w:r>
          </w:p>
        </w:tc>
        <w:tc>
          <w:tcPr>
            <w:tcW w:w="9254"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589"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731" w:hRule="atLeast"/>
        </w:trPr>
        <w:tc>
          <w:tcPr>
            <w:tcW w:w="2182" w:type="dxa"/>
            <w:gridSpan w:val="2"/>
            <w:vMerge w:val="continue"/>
          </w:tcPr>
          <w:p/>
        </w:tc>
        <w:tc>
          <w:tcPr>
            <w:tcW w:w="941" w:type="dxa"/>
            <w:gridSpan w:val="2"/>
            <w:vMerge w:val="continue"/>
          </w:tcPr>
          <w:p/>
        </w:tc>
        <w:tc>
          <w:tcPr>
            <w:tcW w:w="747" w:type="dxa"/>
          </w:tcPr>
          <w:p>
            <w:r>
              <w:rPr>
                <w:rFonts w:hint="eastAsia"/>
              </w:rPr>
              <w:t>运行证据</w:t>
            </w:r>
          </w:p>
        </w:tc>
        <w:tc>
          <w:tcPr>
            <w:tcW w:w="9254" w:type="dxa"/>
          </w:tcPr>
          <w:p>
            <w:pPr>
              <w:spacing w:line="360" w:lineRule="exact"/>
              <w:rPr>
                <w:rFonts w:ascii="宋体" w:hAnsi="宋体"/>
                <w:szCs w:val="21"/>
              </w:rPr>
            </w:pPr>
            <w:r>
              <w:rPr>
                <w:rFonts w:hint="eastAsia"/>
              </w:rPr>
              <w:t>主要负责市场调研、接受客户预约、做好餐前服务、迎宾，点菜，席间服务，餐后整理等；具体包括根据客户点菜情况，跟踪菜肴制作情况，做好席间巡视，负责处理顾客抱怨投诉</w:t>
            </w:r>
            <w:r>
              <w:rPr>
                <w:rFonts w:hint="eastAsia" w:ascii="宋体" w:hAnsi="宋体"/>
                <w:szCs w:val="21"/>
              </w:rPr>
              <w:t>等。</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43" w:hRule="atLeast"/>
        </w:trPr>
        <w:tc>
          <w:tcPr>
            <w:tcW w:w="2182" w:type="dxa"/>
            <w:gridSpan w:val="2"/>
            <w:vMerge w:val="restart"/>
          </w:tcPr>
          <w:p>
            <w:pPr>
              <w:rPr>
                <w:color w:val="000000"/>
                <w:szCs w:val="21"/>
              </w:rPr>
            </w:pPr>
            <w:r>
              <w:rPr>
                <w:rFonts w:hint="eastAsia"/>
                <w:color w:val="000000"/>
                <w:szCs w:val="21"/>
              </w:rPr>
              <w:t>食品安全目标及其实现的策划</w:t>
            </w:r>
          </w:p>
          <w:p/>
        </w:tc>
        <w:tc>
          <w:tcPr>
            <w:tcW w:w="941" w:type="dxa"/>
            <w:gridSpan w:val="2"/>
            <w:vMerge w:val="restart"/>
          </w:tcPr>
          <w:p>
            <w:r>
              <w:rPr>
                <w:rFonts w:hint="eastAsia"/>
              </w:rPr>
              <w:t>F6.2</w:t>
            </w:r>
          </w:p>
          <w:p>
            <w:pPr>
              <w:pStyle w:val="2"/>
            </w:pPr>
            <w:r>
              <w:rPr>
                <w:rFonts w:hint="eastAsia"/>
                <w:color w:val="000000"/>
                <w:szCs w:val="21"/>
              </w:rPr>
              <w:t>F</w:t>
            </w:r>
          </w:p>
        </w:tc>
        <w:tc>
          <w:tcPr>
            <w:tcW w:w="747" w:type="dxa"/>
          </w:tcPr>
          <w:p>
            <w:r>
              <w:rPr>
                <w:rFonts w:hint="eastAsia"/>
              </w:rPr>
              <w:t>文件名称</w:t>
            </w:r>
          </w:p>
        </w:tc>
        <w:tc>
          <w:tcPr>
            <w:tcW w:w="9254"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《目标考核一览表》、《分解目标》</w:t>
            </w:r>
          </w:p>
        </w:tc>
        <w:tc>
          <w:tcPr>
            <w:tcW w:w="1589"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22" w:hRule="atLeast"/>
        </w:trPr>
        <w:tc>
          <w:tcPr>
            <w:tcW w:w="2182" w:type="dxa"/>
            <w:gridSpan w:val="2"/>
            <w:vMerge w:val="continue"/>
          </w:tcPr>
          <w:p/>
        </w:tc>
        <w:tc>
          <w:tcPr>
            <w:tcW w:w="941" w:type="dxa"/>
            <w:gridSpan w:val="2"/>
            <w:vMerge w:val="continue"/>
          </w:tcPr>
          <w:p/>
        </w:tc>
        <w:tc>
          <w:tcPr>
            <w:tcW w:w="747" w:type="dxa"/>
          </w:tcPr>
          <w:p>
            <w:r>
              <w:rPr>
                <w:rFonts w:hint="eastAsia"/>
              </w:rPr>
              <w:t>运行证据</w:t>
            </w:r>
          </w:p>
        </w:tc>
        <w:tc>
          <w:tcPr>
            <w:tcW w:w="9254" w:type="dxa"/>
          </w:tcPr>
          <w:p>
            <w:r>
              <w:rPr>
                <w:rFonts w:hint="eastAsia"/>
              </w:rPr>
              <w:t>组织建立了与方针一致的文件化的管理目标。为实现总</w:t>
            </w:r>
            <w:r>
              <w:rPr>
                <w:rFonts w:hint="eastAsia"/>
                <w:color w:val="000000"/>
                <w:szCs w:val="21"/>
              </w:rPr>
              <w:t>食品安全目标</w:t>
            </w:r>
            <w:r>
              <w:rPr>
                <w:rFonts w:hint="eastAsia"/>
              </w:rPr>
              <w:t>目标而建立的各层级</w:t>
            </w:r>
            <w:r>
              <w:rPr>
                <w:rFonts w:hint="eastAsia"/>
                <w:color w:val="000000"/>
                <w:szCs w:val="21"/>
              </w:rPr>
              <w:t>质量/食品安全目标</w:t>
            </w:r>
            <w:r>
              <w:rPr>
                <w:rFonts w:hint="eastAsia"/>
              </w:rPr>
              <w:t>目标具体、有针对性、可测量并且可实现。</w:t>
            </w:r>
          </w:p>
          <w:p>
            <w:r>
              <w:rPr>
                <w:rFonts w:hint="eastAsia"/>
              </w:rPr>
              <w:t>总</w:t>
            </w:r>
            <w:r>
              <w:rPr>
                <w:rFonts w:hint="eastAsia"/>
                <w:color w:val="000000"/>
                <w:szCs w:val="21"/>
              </w:rPr>
              <w:t>食品安全目标</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110"/>
              <w:gridCol w:w="363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shd w:val="clear" w:color="auto" w:fill="auto"/>
                </w:tcPr>
                <w:p>
                  <w:pPr>
                    <w:rPr>
                      <w:rFonts w:ascii="宋体" w:hAnsi="宋体"/>
                      <w:szCs w:val="21"/>
                    </w:rPr>
                  </w:pPr>
                  <w:r>
                    <w:rPr>
                      <w:rFonts w:hint="eastAsia"/>
                      <w:color w:val="000000"/>
                      <w:szCs w:val="21"/>
                    </w:rPr>
                    <w:t>食品安全目标</w:t>
                  </w:r>
                  <w:r>
                    <w:rPr>
                      <w:rFonts w:hint="eastAsia" w:ascii="宋体" w:hAnsi="宋体"/>
                      <w:szCs w:val="21"/>
                    </w:rPr>
                    <w:t>目标</w:t>
                  </w:r>
                </w:p>
              </w:tc>
              <w:tc>
                <w:tcPr>
                  <w:tcW w:w="1110" w:type="dxa"/>
                  <w:shd w:val="clear" w:color="auto" w:fill="auto"/>
                </w:tcPr>
                <w:p>
                  <w:pPr>
                    <w:rPr>
                      <w:rFonts w:ascii="宋体" w:hAnsi="宋体"/>
                      <w:szCs w:val="21"/>
                    </w:rPr>
                  </w:pPr>
                  <w:r>
                    <w:rPr>
                      <w:rFonts w:hint="eastAsia" w:ascii="宋体" w:hAnsi="宋体"/>
                      <w:szCs w:val="21"/>
                    </w:rPr>
                    <w:t>考核频率</w:t>
                  </w:r>
                </w:p>
              </w:tc>
              <w:tc>
                <w:tcPr>
                  <w:tcW w:w="3630" w:type="dxa"/>
                  <w:shd w:val="clear" w:color="auto" w:fill="auto"/>
                </w:tcPr>
                <w:p>
                  <w:pPr>
                    <w:rPr>
                      <w:rFonts w:ascii="宋体" w:hAnsi="宋体"/>
                      <w:szCs w:val="21"/>
                    </w:rPr>
                  </w:pPr>
                  <w:r>
                    <w:rPr>
                      <w:rFonts w:hint="eastAsia" w:ascii="宋体" w:hAnsi="宋体"/>
                      <w:szCs w:val="21"/>
                    </w:rPr>
                    <w:t>考核方法</w:t>
                  </w:r>
                </w:p>
              </w:tc>
              <w:tc>
                <w:tcPr>
                  <w:tcW w:w="2330" w:type="dxa"/>
                  <w:shd w:val="clear" w:color="auto" w:fill="auto"/>
                </w:tcPr>
                <w:p>
                  <w:pPr>
                    <w:rPr>
                      <w:rFonts w:ascii="宋体" w:hAnsi="宋体"/>
                      <w:szCs w:val="21"/>
                    </w:rPr>
                  </w:pPr>
                  <w:r>
                    <w:rPr>
                      <w:rFonts w:hint="eastAsia" w:ascii="宋体" w:hAnsi="宋体"/>
                      <w:szCs w:val="21"/>
                    </w:rPr>
                    <w:t>目标实际完成（2021.0</w:t>
                  </w:r>
                  <w:r>
                    <w:rPr>
                      <w:rFonts w:ascii="宋体" w:hAnsi="宋体"/>
                      <w:szCs w:val="21"/>
                    </w:rPr>
                    <w:t>6</w:t>
                  </w:r>
                  <w:r>
                    <w:rPr>
                      <w:rFonts w:hint="eastAsia" w:ascii="宋体" w:hAnsi="宋体"/>
                      <w:szCs w:val="21"/>
                    </w:rPr>
                    <w:t>-2021.0</w:t>
                  </w:r>
                  <w:r>
                    <w:rPr>
                      <w:rFonts w:ascii="宋体" w:hAnsi="宋体"/>
                      <w:szCs w:val="21"/>
                    </w:rPr>
                    <w:t>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shd w:val="clear" w:color="auto" w:fill="auto"/>
                </w:tcPr>
                <w:p>
                  <w:pPr>
                    <w:widowControl/>
                    <w:spacing w:before="40"/>
                    <w:jc w:val="left"/>
                    <w:rPr>
                      <w:color w:val="000000"/>
                      <w:szCs w:val="21"/>
                    </w:rPr>
                  </w:pPr>
                  <w:r>
                    <w:rPr>
                      <w:rFonts w:hint="eastAsia"/>
                      <w:color w:val="000000"/>
                      <w:szCs w:val="21"/>
                    </w:rPr>
                    <w:t>顾客满意度80%以上，在今后三年内每年递增1%；</w:t>
                  </w:r>
                </w:p>
              </w:tc>
              <w:tc>
                <w:tcPr>
                  <w:tcW w:w="1110" w:type="dxa"/>
                  <w:shd w:val="clear" w:color="auto" w:fill="auto"/>
                </w:tcPr>
                <w:p>
                  <w:pPr>
                    <w:widowControl/>
                    <w:spacing w:before="40"/>
                    <w:jc w:val="left"/>
                    <w:rPr>
                      <w:color w:val="000000"/>
                      <w:szCs w:val="18"/>
                    </w:rPr>
                  </w:pPr>
                  <w:r>
                    <w:rPr>
                      <w:rFonts w:hint="eastAsia"/>
                      <w:color w:val="000000"/>
                      <w:szCs w:val="18"/>
                    </w:rPr>
                    <w:t>年度</w:t>
                  </w:r>
                </w:p>
              </w:tc>
              <w:tc>
                <w:tcPr>
                  <w:tcW w:w="3630" w:type="dxa"/>
                  <w:shd w:val="clear" w:color="auto" w:fill="auto"/>
                </w:tcPr>
                <w:p>
                  <w:pPr>
                    <w:widowControl/>
                    <w:spacing w:before="40"/>
                    <w:jc w:val="left"/>
                    <w:rPr>
                      <w:color w:val="000000"/>
                      <w:szCs w:val="18"/>
                    </w:rPr>
                  </w:pPr>
                  <w:r>
                    <w:rPr>
                      <w:rFonts w:hint="eastAsia"/>
                      <w:color w:val="000000"/>
                      <w:szCs w:val="18"/>
                    </w:rPr>
                    <w:t>根据顾客满意度调查分析表进行统计</w:t>
                  </w:r>
                </w:p>
              </w:tc>
              <w:tc>
                <w:tcPr>
                  <w:tcW w:w="2330" w:type="dxa"/>
                  <w:shd w:val="clear" w:color="auto" w:fill="auto"/>
                </w:tcPr>
                <w:p>
                  <w:pPr>
                    <w:widowControl/>
                    <w:spacing w:before="40"/>
                    <w:jc w:val="left"/>
                    <w:rPr>
                      <w:color w:val="000000"/>
                      <w:szCs w:val="18"/>
                    </w:rPr>
                  </w:pPr>
                  <w:r>
                    <w:rPr>
                      <w:color w:val="000000"/>
                      <w:szCs w:val="1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shd w:val="clear" w:color="auto" w:fill="auto"/>
                </w:tcPr>
                <w:p>
                  <w:pPr>
                    <w:widowControl/>
                    <w:spacing w:before="40"/>
                    <w:jc w:val="left"/>
                    <w:rPr>
                      <w:color w:val="000000"/>
                      <w:szCs w:val="21"/>
                    </w:rPr>
                  </w:pPr>
                </w:p>
              </w:tc>
              <w:tc>
                <w:tcPr>
                  <w:tcW w:w="1110" w:type="dxa"/>
                  <w:shd w:val="clear" w:color="auto" w:fill="auto"/>
                </w:tcPr>
                <w:p>
                  <w:pPr>
                    <w:widowControl/>
                    <w:spacing w:before="40"/>
                    <w:jc w:val="left"/>
                    <w:rPr>
                      <w:color w:val="000000"/>
                      <w:szCs w:val="21"/>
                    </w:rPr>
                  </w:pPr>
                </w:p>
              </w:tc>
              <w:tc>
                <w:tcPr>
                  <w:tcW w:w="3630" w:type="dxa"/>
                  <w:shd w:val="clear" w:color="auto" w:fill="auto"/>
                </w:tcPr>
                <w:p>
                  <w:pPr>
                    <w:widowControl/>
                    <w:spacing w:before="40"/>
                    <w:jc w:val="left"/>
                    <w:rPr>
                      <w:color w:val="000000"/>
                      <w:szCs w:val="18"/>
                    </w:rPr>
                  </w:pPr>
                </w:p>
              </w:tc>
              <w:tc>
                <w:tcPr>
                  <w:tcW w:w="2330" w:type="dxa"/>
                  <w:shd w:val="clear" w:color="auto" w:fill="auto"/>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shd w:val="clear" w:color="auto" w:fill="auto"/>
                </w:tcPr>
                <w:p>
                  <w:pPr>
                    <w:rPr>
                      <w:szCs w:val="21"/>
                    </w:rPr>
                  </w:pPr>
                </w:p>
              </w:tc>
              <w:tc>
                <w:tcPr>
                  <w:tcW w:w="1110" w:type="dxa"/>
                  <w:shd w:val="clear" w:color="auto" w:fill="auto"/>
                  <w:vAlign w:val="center"/>
                </w:tcPr>
                <w:p>
                  <w:pPr>
                    <w:rPr>
                      <w:rFonts w:ascii="宋体" w:hAnsi="宋体"/>
                      <w:szCs w:val="21"/>
                    </w:rPr>
                  </w:pPr>
                </w:p>
              </w:tc>
              <w:tc>
                <w:tcPr>
                  <w:tcW w:w="3630" w:type="dxa"/>
                  <w:shd w:val="clear" w:color="auto" w:fill="auto"/>
                  <w:vAlign w:val="center"/>
                </w:tcPr>
                <w:p>
                  <w:pPr>
                    <w:rPr>
                      <w:rFonts w:ascii="宋体" w:hAnsi="宋体"/>
                      <w:szCs w:val="21"/>
                    </w:rPr>
                  </w:pPr>
                </w:p>
              </w:tc>
              <w:tc>
                <w:tcPr>
                  <w:tcW w:w="2330" w:type="dxa"/>
                  <w:shd w:val="clear" w:color="auto" w:fill="auto"/>
                  <w:vAlign w:val="center"/>
                </w:tcPr>
                <w:p>
                  <w:pPr>
                    <w:jc w:val="center"/>
                    <w:rPr>
                      <w:rFonts w:ascii="宋体" w:hAnsi="宋体"/>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68" w:hRule="atLeast"/>
        </w:trPr>
        <w:tc>
          <w:tcPr>
            <w:tcW w:w="2182" w:type="dxa"/>
            <w:gridSpan w:val="2"/>
            <w:vMerge w:val="restart"/>
          </w:tcPr>
          <w:p>
            <w:r>
              <w:rPr>
                <w:rFonts w:hint="eastAsia"/>
              </w:rPr>
              <w:t xml:space="preserve">沟通  </w:t>
            </w:r>
          </w:p>
        </w:tc>
        <w:tc>
          <w:tcPr>
            <w:tcW w:w="941" w:type="dxa"/>
            <w:gridSpan w:val="2"/>
            <w:vMerge w:val="restart"/>
          </w:tcPr>
          <w:p>
            <w:r>
              <w:rPr>
                <w:rFonts w:hint="eastAsia"/>
              </w:rPr>
              <w:t xml:space="preserve">F7.4  </w:t>
            </w:r>
          </w:p>
          <w:p>
            <w:pPr>
              <w:pStyle w:val="2"/>
              <w:ind w:left="0" w:firstLine="0" w:firstLineChars="0"/>
            </w:pPr>
            <w:r>
              <w:rPr>
                <w:rFonts w:hint="eastAsia"/>
              </w:rPr>
              <w:t>F8.2</w:t>
            </w:r>
          </w:p>
        </w:tc>
        <w:tc>
          <w:tcPr>
            <w:tcW w:w="747" w:type="dxa"/>
          </w:tcPr>
          <w:p>
            <w:r>
              <w:rPr>
                <w:rFonts w:hint="eastAsia"/>
              </w:rPr>
              <w:t>文件名称</w:t>
            </w:r>
          </w:p>
        </w:tc>
        <w:tc>
          <w:tcPr>
            <w:tcW w:w="9254" w:type="dxa"/>
          </w:tcPr>
          <w:p>
            <w:r>
              <w:rPr>
                <w:rFonts w:hint="eastAsia"/>
              </w:rPr>
              <w:t>如：</w:t>
            </w:r>
            <w:r>
              <w:rPr/>
              <w:sym w:font="Wingdings" w:char="00FE"/>
            </w:r>
            <w:r>
              <w:rPr>
                <w:rFonts w:hint="eastAsia"/>
              </w:rPr>
              <w:t>《沟通控制程序》</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10" w:hRule="atLeast"/>
        </w:trPr>
        <w:tc>
          <w:tcPr>
            <w:tcW w:w="2182" w:type="dxa"/>
            <w:gridSpan w:val="2"/>
            <w:vMerge w:val="continue"/>
          </w:tcPr>
          <w:p/>
        </w:tc>
        <w:tc>
          <w:tcPr>
            <w:tcW w:w="941" w:type="dxa"/>
            <w:gridSpan w:val="2"/>
            <w:vMerge w:val="continue"/>
          </w:tcPr>
          <w:p/>
        </w:tc>
        <w:tc>
          <w:tcPr>
            <w:tcW w:w="747" w:type="dxa"/>
          </w:tcPr>
          <w:p>
            <w:r>
              <w:rPr>
                <w:rFonts w:hint="eastAsia"/>
              </w:rPr>
              <w:t>运行证据</w:t>
            </w:r>
          </w:p>
        </w:tc>
        <w:tc>
          <w:tcPr>
            <w:tcW w:w="9254" w:type="dxa"/>
          </w:tcPr>
          <w:p>
            <w:pPr>
              <w:pStyle w:val="2"/>
              <w:ind w:left="0" w:firstLine="0" w:firstLineChars="0"/>
            </w:pPr>
            <w:r>
              <w:rPr>
                <w:rFonts w:hint="eastAsia"/>
              </w:rPr>
              <w:t>组织销售订单接受控制方式：</w:t>
            </w:r>
          </w:p>
          <w:p>
            <w:pPr>
              <w:ind w:firstLine="420" w:firstLineChars="200"/>
              <w:rPr>
                <w:color w:val="000000"/>
                <w:szCs w:val="21"/>
              </w:rPr>
            </w:pPr>
            <w:r>
              <w:rPr>
                <w:rFonts w:hint="eastAsia"/>
                <w:color w:val="000000"/>
                <w:szCs w:val="21"/>
              </w:rPr>
              <w:t xml:space="preserve">☑电话  </w:t>
            </w:r>
            <w:r>
              <w:rPr>
                <w:rFonts w:hint="eastAsia"/>
                <w:color w:val="000000"/>
                <w:szCs w:val="21"/>
              </w:rPr>
              <w:sym w:font="Wingdings 2" w:char="00A3"/>
            </w:r>
            <w:r>
              <w:rPr>
                <w:rFonts w:hint="eastAsia"/>
                <w:color w:val="000000"/>
                <w:szCs w:val="21"/>
              </w:rPr>
              <w:t xml:space="preserve">系统下订单 ☑微信 ☑现场接单  □QQ  </w:t>
            </w:r>
            <w:r>
              <w:rPr>
                <w:rFonts w:hint="eastAsia"/>
                <w:color w:val="000000"/>
                <w:szCs w:val="21"/>
              </w:rPr>
              <w:sym w:font="Wingdings 2" w:char="00A3"/>
            </w:r>
            <w:r>
              <w:rPr>
                <w:rFonts w:hint="eastAsia"/>
                <w:color w:val="000000"/>
                <w:szCs w:val="21"/>
              </w:rPr>
              <w:t xml:space="preserve">上门回访  </w:t>
            </w:r>
            <w:r>
              <w:rPr>
                <w:rFonts w:hint="eastAsia"/>
                <w:color w:val="000000"/>
                <w:szCs w:val="21"/>
              </w:rPr>
              <w:sym w:font="Wingdings 2" w:char="00A3"/>
            </w:r>
            <w:r>
              <w:rPr>
                <w:rFonts w:hint="eastAsia"/>
                <w:color w:val="000000"/>
                <w:szCs w:val="21"/>
              </w:rPr>
              <w:t xml:space="preserve">邮件   </w:t>
            </w:r>
            <w:r>
              <w:rPr>
                <w:rFonts w:hint="eastAsia"/>
                <w:color w:val="000000"/>
                <w:szCs w:val="21"/>
              </w:rPr>
              <w:sym w:font="Wingdings 2" w:char="00A3"/>
            </w:r>
            <w:r>
              <w:rPr>
                <w:rFonts w:hint="eastAsia"/>
                <w:color w:val="000000"/>
                <w:szCs w:val="21"/>
              </w:rPr>
              <w:t xml:space="preserve">其他 </w:t>
            </w:r>
          </w:p>
          <w:p>
            <w:pPr>
              <w:pStyle w:val="2"/>
            </w:pPr>
          </w:p>
          <w:p>
            <w:r>
              <w:rPr>
                <w:rFonts w:hint="eastAsia"/>
              </w:rPr>
              <w:t>组织销售过程中以及与客户沟通订单、沟通有关产品、食品安全等内容的方式主要通过：</w:t>
            </w:r>
          </w:p>
          <w:p>
            <w:pPr>
              <w:ind w:firstLine="420" w:firstLineChars="200"/>
              <w:rPr>
                <w:color w:val="000000"/>
                <w:szCs w:val="21"/>
              </w:rPr>
            </w:pPr>
            <w:r>
              <w:rPr>
                <w:rFonts w:hint="eastAsia"/>
                <w:color w:val="000000"/>
                <w:szCs w:val="21"/>
              </w:rPr>
              <w:t xml:space="preserve">☑现场沟通  ☑电话   □表单传递  ☑微信   □QQ  □上门回访  </w:t>
            </w:r>
            <w:r>
              <w:rPr>
                <w:rFonts w:hint="eastAsia"/>
                <w:color w:val="000000"/>
                <w:szCs w:val="21"/>
              </w:rPr>
              <w:sym w:font="Wingdings 2" w:char="00A3"/>
            </w:r>
            <w:r>
              <w:rPr>
                <w:rFonts w:hint="eastAsia"/>
                <w:color w:val="000000"/>
                <w:szCs w:val="21"/>
              </w:rPr>
              <w:t xml:space="preserve">邮件   </w:t>
            </w:r>
            <w:r>
              <w:rPr>
                <w:rFonts w:hint="eastAsia"/>
                <w:color w:val="000000"/>
                <w:szCs w:val="21"/>
              </w:rPr>
              <w:sym w:font="Wingdings 2" w:char="00A3"/>
            </w:r>
            <w:r>
              <w:rPr>
                <w:rFonts w:hint="eastAsia"/>
                <w:color w:val="000000"/>
                <w:szCs w:val="21"/>
              </w:rPr>
              <w:t xml:space="preserve">其他 </w:t>
            </w:r>
          </w:p>
          <w:p>
            <w:pPr>
              <w:pStyle w:val="2"/>
            </w:pPr>
          </w:p>
          <w:p>
            <w:pPr>
              <w:pStyle w:val="2"/>
              <w:ind w:left="0" w:firstLine="0" w:firstLineChars="0"/>
            </w:pPr>
            <w:r>
              <w:rPr>
                <w:rFonts w:hint="eastAsia"/>
              </w:rPr>
              <w:t>顾客无特殊的食品安全要求。</w:t>
            </w:r>
          </w:p>
          <w:p>
            <w:pPr>
              <w:pStyle w:val="2"/>
              <w:ind w:left="0"/>
            </w:pPr>
          </w:p>
          <w:p>
            <w:pPr>
              <w:pStyle w:val="2"/>
              <w:ind w:left="0" w:firstLine="0" w:firstLineChars="0"/>
            </w:pPr>
            <w:r>
              <w:rPr>
                <w:rFonts w:hint="eastAsia"/>
              </w:rPr>
              <w:t>因行业特殊性，该组织主要是销售堂食方式，点菜以口头点菜为主，最后以结账单方式体现，因去年以来疫情的影响，组织的销售受较大影响，目前三楼餐厅/包厢暂时关闭，主要是四楼餐厅营业为主，随机抽取：</w:t>
            </w:r>
          </w:p>
          <w:tbl>
            <w:tblPr>
              <w:tblStyle w:val="8"/>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96"/>
              <w:gridCol w:w="1521"/>
              <w:gridCol w:w="1155"/>
              <w:gridCol w:w="125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销售日期</w:t>
                  </w:r>
                </w:p>
              </w:tc>
              <w:tc>
                <w:tcPr>
                  <w:tcW w:w="1396" w:type="dxa"/>
                </w:tcPr>
                <w:p>
                  <w:r>
                    <w:rPr>
                      <w:rFonts w:hint="eastAsia"/>
                    </w:rPr>
                    <w:t>客户名称</w:t>
                  </w:r>
                </w:p>
              </w:tc>
              <w:tc>
                <w:tcPr>
                  <w:tcW w:w="1521" w:type="dxa"/>
                </w:tcPr>
                <w:p>
                  <w:r>
                    <w:rPr>
                      <w:rFonts w:hint="eastAsia"/>
                    </w:rPr>
                    <w:t>产品名称</w:t>
                  </w:r>
                </w:p>
              </w:tc>
              <w:tc>
                <w:tcPr>
                  <w:tcW w:w="1155" w:type="dxa"/>
                </w:tcPr>
                <w:p>
                  <w:r>
                    <w:rPr>
                      <w:rFonts w:hint="eastAsia"/>
                    </w:rPr>
                    <w:t>数量</w:t>
                  </w:r>
                </w:p>
              </w:tc>
              <w:tc>
                <w:tcPr>
                  <w:tcW w:w="1255" w:type="dxa"/>
                </w:tcPr>
                <w:p>
                  <w:r>
                    <w:rPr>
                      <w:rFonts w:hint="eastAsia"/>
                    </w:rPr>
                    <w:t>运输协议单</w:t>
                  </w:r>
                </w:p>
              </w:tc>
              <w:tc>
                <w:tcPr>
                  <w:tcW w:w="1609" w:type="dxa"/>
                </w:tcPr>
                <w:p>
                  <w:r>
                    <w:rPr>
                      <w:rFonts w:hint="eastAsia"/>
                    </w:rPr>
                    <w:t>发货单号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2</w:t>
                  </w:r>
                  <w:r>
                    <w:t>021.9.11</w:t>
                  </w:r>
                </w:p>
              </w:tc>
              <w:tc>
                <w:tcPr>
                  <w:tcW w:w="1396" w:type="dxa"/>
                </w:tcPr>
                <w:p>
                  <w:r>
                    <w:rPr>
                      <w:rFonts w:hint="eastAsia"/>
                    </w:rPr>
                    <w:t>四楼包间/大连包厢</w:t>
                  </w:r>
                </w:p>
                <w:p>
                  <w:r>
                    <w:rPr>
                      <w:rFonts w:hint="eastAsia"/>
                    </w:rPr>
                    <w:t>1</w:t>
                  </w:r>
                  <w:r>
                    <w:t>0</w:t>
                  </w:r>
                  <w:r>
                    <w:rPr>
                      <w:rFonts w:hint="eastAsia"/>
                    </w:rPr>
                    <w:t>人</w:t>
                  </w:r>
                </w:p>
              </w:tc>
              <w:tc>
                <w:tcPr>
                  <w:tcW w:w="1521" w:type="dxa"/>
                </w:tcPr>
                <w:p>
                  <w:pPr>
                    <w:rPr>
                      <w:rFonts w:hint="eastAsia"/>
                    </w:rPr>
                  </w:pPr>
                  <w:r>
                    <w:rPr>
                      <w:rFonts w:hint="eastAsia"/>
                    </w:rPr>
                    <w:t>精品四味碟、原味黑毛肚、黄山臭桂鱼、牛气冲天等1</w:t>
                  </w:r>
                  <w:r>
                    <w:t>4</w:t>
                  </w:r>
                  <w:r>
                    <w:rPr>
                      <w:rFonts w:hint="eastAsia"/>
                    </w:rPr>
                    <w:t>个菜肴</w:t>
                  </w:r>
                </w:p>
              </w:tc>
              <w:tc>
                <w:tcPr>
                  <w:tcW w:w="1155" w:type="dxa"/>
                </w:tcPr>
                <w:p>
                  <w:r>
                    <w:rPr>
                      <w:rFonts w:hint="eastAsia"/>
                    </w:rPr>
                    <w:t>菜肴各一份</w:t>
                  </w:r>
                </w:p>
              </w:tc>
              <w:tc>
                <w:tcPr>
                  <w:tcW w:w="1255" w:type="dxa"/>
                </w:tcPr>
                <w:p>
                  <w:r>
                    <w:rPr>
                      <w:rFonts w:hint="eastAsia"/>
                    </w:rPr>
                    <w:t>——</w:t>
                  </w:r>
                </w:p>
              </w:tc>
              <w:tc>
                <w:tcPr>
                  <w:tcW w:w="160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86" w:type="dxa"/>
                </w:tcPr>
                <w:p>
                  <w:r>
                    <w:rPr>
                      <w:rFonts w:hint="eastAsia"/>
                    </w:rPr>
                    <w:t>2</w:t>
                  </w:r>
                  <w:r>
                    <w:t>021.9.18</w:t>
                  </w:r>
                </w:p>
              </w:tc>
              <w:tc>
                <w:tcPr>
                  <w:tcW w:w="1396" w:type="dxa"/>
                </w:tcPr>
                <w:p>
                  <w:r>
                    <w:rPr>
                      <w:rFonts w:hint="eastAsia"/>
                    </w:rPr>
                    <w:t>四楼包间/天津包厢</w:t>
                  </w:r>
                </w:p>
                <w:p>
                  <w:pPr>
                    <w:pStyle w:val="2"/>
                    <w:ind w:left="0" w:firstLine="0" w:firstLineChars="0"/>
                    <w:rPr>
                      <w:rFonts w:hint="eastAsia"/>
                    </w:rPr>
                  </w:pPr>
                  <w:r>
                    <w:rPr>
                      <w:rFonts w:hint="eastAsia"/>
                    </w:rPr>
                    <w:t>1</w:t>
                  </w:r>
                  <w:r>
                    <w:t>0</w:t>
                  </w:r>
                  <w:r>
                    <w:rPr>
                      <w:rFonts w:hint="eastAsia"/>
                    </w:rPr>
                    <w:t>人</w:t>
                  </w:r>
                </w:p>
              </w:tc>
              <w:tc>
                <w:tcPr>
                  <w:tcW w:w="1521" w:type="dxa"/>
                </w:tcPr>
                <w:p>
                  <w:pPr>
                    <w:pStyle w:val="2"/>
                    <w:ind w:left="0" w:firstLine="0" w:firstLineChars="0"/>
                    <w:rPr>
                      <w:rFonts w:hint="eastAsia"/>
                    </w:rPr>
                  </w:pPr>
                  <w:r>
                    <w:rPr>
                      <w:rFonts w:hint="eastAsia"/>
                    </w:rPr>
                    <w:t>精品六味碟、福贵玻璃鸽、正宗扬州老鹅、文火小牛肉、金陵烤鸭等1</w:t>
                  </w:r>
                  <w:r>
                    <w:t>2</w:t>
                  </w:r>
                  <w:r>
                    <w:rPr>
                      <w:rFonts w:hint="eastAsia"/>
                    </w:rPr>
                    <w:t>个菜肴</w:t>
                  </w:r>
                </w:p>
              </w:tc>
              <w:tc>
                <w:tcPr>
                  <w:tcW w:w="1155" w:type="dxa"/>
                </w:tcPr>
                <w:p>
                  <w:pPr>
                    <w:pStyle w:val="2"/>
                    <w:ind w:left="0" w:firstLine="0" w:firstLineChars="0"/>
                  </w:pPr>
                  <w:r>
                    <w:rPr>
                      <w:rFonts w:hint="eastAsia"/>
                    </w:rPr>
                    <w:t>菜肴各一份</w:t>
                  </w:r>
                </w:p>
              </w:tc>
              <w:tc>
                <w:tcPr>
                  <w:tcW w:w="1255" w:type="dxa"/>
                </w:tcPr>
                <w:p/>
              </w:tc>
              <w:tc>
                <w:tcPr>
                  <w:tcW w:w="16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tc>
              <w:tc>
                <w:tcPr>
                  <w:tcW w:w="1396" w:type="dxa"/>
                </w:tcPr>
                <w:p/>
              </w:tc>
              <w:tc>
                <w:tcPr>
                  <w:tcW w:w="1521" w:type="dxa"/>
                </w:tcPr>
                <w:p>
                  <w:pPr>
                    <w:pStyle w:val="2"/>
                    <w:ind w:left="0" w:firstLine="0" w:firstLineChars="0"/>
                  </w:pPr>
                </w:p>
              </w:tc>
              <w:tc>
                <w:tcPr>
                  <w:tcW w:w="1155" w:type="dxa"/>
                </w:tcPr>
                <w:p>
                  <w:pPr>
                    <w:pStyle w:val="2"/>
                    <w:ind w:left="0" w:firstLine="0" w:firstLineChars="0"/>
                  </w:pPr>
                </w:p>
              </w:tc>
              <w:tc>
                <w:tcPr>
                  <w:tcW w:w="1255" w:type="dxa"/>
                </w:tcPr>
                <w:p/>
              </w:tc>
              <w:tc>
                <w:tcPr>
                  <w:tcW w:w="16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86" w:type="dxa"/>
                </w:tcPr>
                <w:p/>
              </w:tc>
              <w:tc>
                <w:tcPr>
                  <w:tcW w:w="1396" w:type="dxa"/>
                </w:tcPr>
                <w:p/>
              </w:tc>
              <w:tc>
                <w:tcPr>
                  <w:tcW w:w="1521" w:type="dxa"/>
                </w:tcPr>
                <w:p>
                  <w:pPr>
                    <w:pStyle w:val="2"/>
                    <w:ind w:left="0" w:firstLine="0" w:firstLineChars="0"/>
                  </w:pPr>
                </w:p>
              </w:tc>
              <w:tc>
                <w:tcPr>
                  <w:tcW w:w="1155" w:type="dxa"/>
                </w:tcPr>
                <w:p>
                  <w:pPr>
                    <w:pStyle w:val="2"/>
                    <w:ind w:left="0" w:firstLine="0" w:firstLineChars="0"/>
                  </w:pPr>
                </w:p>
              </w:tc>
              <w:tc>
                <w:tcPr>
                  <w:tcW w:w="1255" w:type="dxa"/>
                </w:tcPr>
                <w:p/>
              </w:tc>
              <w:tc>
                <w:tcPr>
                  <w:tcW w:w="1609" w:type="dxa"/>
                </w:tcPr>
                <w:p/>
              </w:tc>
            </w:tr>
          </w:tbl>
          <w:p>
            <w:pPr>
              <w:pStyle w:val="2"/>
              <w:ind w:left="0" w:firstLine="0" w:firstLineChars="0"/>
            </w:pPr>
          </w:p>
          <w:p>
            <w:pPr>
              <w:pStyle w:val="2"/>
              <w:ind w:left="0" w:firstLine="0" w:firstLineChars="0"/>
              <w:rPr>
                <w:rFonts w:hint="eastAsia"/>
              </w:rPr>
            </w:pPr>
          </w:p>
          <w:p>
            <w:pPr>
              <w:pStyle w:val="2"/>
              <w:ind w:left="0" w:firstLine="0" w:firstLineChars="0"/>
            </w:pPr>
            <w:r>
              <w:rPr>
                <w:rFonts w:hint="eastAsia"/>
              </w:rPr>
              <w:t>询问被告知，目前销售的产品无不合格产品，无顾客投诉，未发生撤回召回情况。</w:t>
            </w:r>
          </w:p>
          <w:p>
            <w:pPr>
              <w:pStyle w:val="2"/>
              <w:ind w:left="0" w:firstLine="0" w:firstLineChars="0"/>
            </w:pP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2178" w:type="dxa"/>
            <w:vMerge w:val="restart"/>
          </w:tcPr>
          <w:p>
            <w:r>
              <w:rPr>
                <w:rFonts w:hint="eastAsia"/>
              </w:rPr>
              <w:t>前提方案（PRP）</w:t>
            </w:r>
          </w:p>
        </w:tc>
        <w:tc>
          <w:tcPr>
            <w:tcW w:w="930" w:type="dxa"/>
            <w:gridSpan w:val="2"/>
            <w:vMerge w:val="restart"/>
          </w:tcPr>
          <w:p>
            <w:r>
              <w:rPr>
                <w:rFonts w:hint="eastAsia"/>
              </w:rPr>
              <w:t>F8.2.</w:t>
            </w:r>
            <w:r>
              <w:t>4</w:t>
            </w:r>
          </w:p>
        </w:tc>
        <w:tc>
          <w:tcPr>
            <w:tcW w:w="762" w:type="dxa"/>
            <w:gridSpan w:val="2"/>
          </w:tcPr>
          <w:p>
            <w:r>
              <w:rPr>
                <w:rFonts w:hint="eastAsia"/>
              </w:rPr>
              <w:t>文件名称</w:t>
            </w:r>
          </w:p>
        </w:tc>
        <w:tc>
          <w:tcPr>
            <w:tcW w:w="9254" w:type="dxa"/>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《生产过程控制管理制度》</w:t>
            </w:r>
          </w:p>
        </w:tc>
        <w:tc>
          <w:tcPr>
            <w:tcW w:w="1589"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2178" w:type="dxa"/>
            <w:vMerge w:val="continue"/>
          </w:tcPr>
          <w:p/>
        </w:tc>
        <w:tc>
          <w:tcPr>
            <w:tcW w:w="930" w:type="dxa"/>
            <w:gridSpan w:val="2"/>
            <w:vMerge w:val="continue"/>
          </w:tcPr>
          <w:p/>
        </w:tc>
        <w:tc>
          <w:tcPr>
            <w:tcW w:w="762" w:type="dxa"/>
            <w:gridSpan w:val="2"/>
          </w:tcPr>
          <w:p>
            <w:r>
              <w:rPr>
                <w:rFonts w:hint="eastAsia"/>
              </w:rPr>
              <w:t>运行证据</w:t>
            </w:r>
          </w:p>
        </w:tc>
        <w:tc>
          <w:tcPr>
            <w:tcW w:w="9254" w:type="dxa"/>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江苏省南京市鼓楼区中央门街道黑龙江路33号301室、401室</w:t>
            </w:r>
          </w:p>
          <w:p>
            <w:pPr>
              <w:ind w:firstLine="210" w:firstLineChars="100"/>
            </w:pPr>
            <w:r>
              <w:rPr>
                <w:rFonts w:hint="eastAsia" w:ascii="宋体" w:hAnsi="宋体"/>
                <w:szCs w:val="21"/>
              </w:rPr>
              <w:t>与公司地理位置图、平面图、设备台账一致。</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u w:val="single"/>
              </w:rPr>
            </w:pPr>
            <w:r>
              <w:rPr>
                <w:rFonts w:hint="eastAsia" w:ascii="宋体" w:hAnsi="宋体"/>
                <w:szCs w:val="21"/>
                <w:u w:val="single"/>
              </w:rPr>
              <w:t>经营面积约有</w:t>
            </w:r>
            <w:r>
              <w:rPr>
                <w:rFonts w:ascii="宋体" w:hAnsi="宋体"/>
                <w:szCs w:val="21"/>
                <w:u w:val="single"/>
              </w:rPr>
              <w:t>50</w:t>
            </w:r>
            <w:r>
              <w:rPr>
                <w:rFonts w:hint="eastAsia" w:ascii="宋体" w:hAnsi="宋体"/>
                <w:szCs w:val="21"/>
                <w:u w:val="single"/>
              </w:rPr>
              <w:t>00平方米。因去年以来疫情的影响，组织的销售受较大影响，目前三楼餐厅/包厢暂时关闭，主要是四楼餐厅营业为主。</w:t>
            </w:r>
          </w:p>
          <w:p>
            <w:pPr>
              <w:ind w:firstLine="420" w:firstLineChars="200"/>
              <w:rPr>
                <w:rFonts w:ascii="宋体" w:hAnsi="宋体"/>
                <w:szCs w:val="21"/>
                <w:u w:val="single"/>
              </w:rPr>
            </w:pPr>
            <w:r>
              <w:rPr>
                <w:rFonts w:hint="eastAsia" w:ascii="宋体" w:hAnsi="宋体"/>
                <w:szCs w:val="21"/>
                <w:u w:val="single"/>
              </w:rPr>
              <w:t>与平面图一致。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对水流、物流和人流有区域划分，基本满足不交叉；</w:t>
            </w:r>
          </w:p>
          <w:p>
            <w:pPr>
              <w:pStyle w:val="2"/>
              <w:ind w:left="0" w:firstLine="0" w:firstLineChars="0"/>
              <w:rPr>
                <w:rFonts w:hint="eastAsia"/>
              </w:rPr>
            </w:pPr>
            <w:r>
              <w:rPr>
                <w:rFonts w:hint="eastAsia"/>
              </w:rPr>
              <w:t xml:space="preserve"> </w:t>
            </w:r>
            <w:r>
              <w:t xml:space="preserve">  </w:t>
            </w:r>
            <w:r>
              <w:rPr>
                <w:rFonts w:hint="eastAsia"/>
              </w:rPr>
              <w:t>对中央空调一般由外部负责进行，详见后勤部审核记录。</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r>
              <w:rPr>
                <w:rFonts w:hint="eastAsia"/>
              </w:rPr>
              <w:t xml:space="preserve">  </w:t>
            </w:r>
            <w:r>
              <w:rPr>
                <w:rFonts w:hint="eastAsia"/>
                <w:u w:val="single"/>
              </w:rPr>
              <w:t>现场观察无飞蝇等，基本满足要求；虫鼠害防控见后勤部审核记录。</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餐厅卫生主要做好摆台、席间服务及餐后整理等工作，提供了《餐厅卫生检查记录》，消毒工作见厨部审核记录。</w:t>
            </w:r>
          </w:p>
          <w:p>
            <w:pPr>
              <w:pStyle w:val="15"/>
            </w:pP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见“后勤部”审核记录。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。化学品（洗洁精、75%酒精）的出入库管理通过台账等方式进行控制；</w:t>
            </w:r>
          </w:p>
          <w:p>
            <w:pPr>
              <w:pStyle w:val="15"/>
            </w:pP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pStyle w:val="15"/>
              <w:ind w:left="210" w:hanging="210" w:hangingChars="100"/>
              <w:rPr>
                <w:u w:val="single"/>
              </w:rPr>
            </w:pPr>
            <w:r>
              <w:rPr>
                <w:rFonts w:hint="eastAsia"/>
                <w:bCs w:val="0"/>
                <w:spacing w:val="0"/>
              </w:rPr>
              <w:t>目前餐饮服务场所主要在四楼，以包厢为主，目前共有2</w:t>
            </w:r>
            <w:r>
              <w:rPr>
                <w:bCs w:val="0"/>
                <w:spacing w:val="0"/>
              </w:rPr>
              <w:t>3</w:t>
            </w:r>
            <w:r>
              <w:rPr>
                <w:rFonts w:hint="eastAsia"/>
                <w:bCs w:val="0"/>
                <w:spacing w:val="0"/>
              </w:rPr>
              <w:t>个包厢。</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u w:val="single"/>
              </w:rPr>
            </w:pPr>
            <w:r>
              <w:rPr>
                <w:rFonts w:hint="eastAsia"/>
              </w:rPr>
              <w:t xml:space="preserve">  </w:t>
            </w:r>
            <w:r>
              <w:rPr>
                <w:rFonts w:hint="eastAsia"/>
                <w:u w:val="single"/>
              </w:rPr>
              <w:t>每天工作结束进行清洁和消毒，环境基本干净整洁；提供有《餐厅卫生检查表》、餐厅内环境主要以清洁为主；台布、口布等统一进行清洗，提供了洗涤交接清单，查2</w:t>
            </w:r>
            <w:r>
              <w:rPr>
                <w:u w:val="single"/>
              </w:rPr>
              <w:t>021</w:t>
            </w:r>
            <w:r>
              <w:rPr>
                <w:rFonts w:hint="eastAsia"/>
                <w:u w:val="single"/>
              </w:rPr>
              <w:t>年9月1日，台布共2</w:t>
            </w:r>
            <w:r>
              <w:rPr>
                <w:u w:val="single"/>
              </w:rPr>
              <w:t>8</w:t>
            </w:r>
            <w:r>
              <w:rPr>
                <w:rFonts w:hint="eastAsia"/>
                <w:u w:val="single"/>
              </w:rPr>
              <w:t>幅，口布1</w:t>
            </w:r>
            <w:r>
              <w:rPr>
                <w:u w:val="single"/>
              </w:rPr>
              <w:t>1</w:t>
            </w:r>
            <w:r>
              <w:rPr>
                <w:rFonts w:hint="eastAsia"/>
                <w:u w:val="single"/>
              </w:rPr>
              <w:t>套，交接人为陈发琴。</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健康证见“人事部”审核记录，员工工作服统一清洗，基本干净整洁。</w:t>
            </w:r>
            <w:r>
              <w:rPr>
                <w:rFonts w:hint="eastAsia"/>
              </w:rPr>
              <w:t xml:space="preserve"> </w:t>
            </w:r>
          </w:p>
          <w:p>
            <w:pPr>
              <w:ind w:firstLine="210" w:firstLineChars="100"/>
              <w:rPr>
                <w:u w:val="single"/>
              </w:rPr>
            </w:pPr>
            <w:r>
              <w:rPr>
                <w:rFonts w:hint="eastAsia"/>
                <w:u w:val="single"/>
              </w:rPr>
              <w:t>每日进行晨检，提供有《服务人员晨检记录表》，有疫情防控制度要求，监测体温以及健康状况。</w:t>
            </w:r>
          </w:p>
          <w:p>
            <w:pPr>
              <w:pStyle w:val="15"/>
              <w:ind w:firstLine="230" w:firstLineChars="100"/>
              <w:rPr>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2" w:char="0052"/>
            </w:r>
            <w:r>
              <w:rPr>
                <w:rFonts w:hint="eastAsia"/>
                <w:u w:val="single"/>
              </w:rPr>
              <w:t>良好身体健康告知（有告知，有管理，但未保留记录，已现场沟通，后期改进）</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该企业的产品主要是各类热食类食品，包括主食、菜肴（荤菜、素材、汤类、煲等）；客户群体主要是普通大众；点菜过程中一般会询问客户有无忌口，有无过敏。</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现场观察餐前服务过程中，会关注餐具一般不会提前摆放，会检查餐器具的完好性等，摆放时间不超过一个营业市，服务过程中在上菜过程中注意防护，当心服务过程温度较高菜肴造成客户的烫伤等风险，席间及时更换骨碟等。服务过程较为专业，基本符合。</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2182" w:type="dxa"/>
            <w:gridSpan w:val="2"/>
            <w:vMerge w:val="restart"/>
          </w:tcPr>
          <w:p>
            <w:r>
              <w:rPr>
                <w:rFonts w:hint="eastAsia"/>
              </w:rPr>
              <w:t>撤回/召回</w:t>
            </w:r>
            <w:bookmarkStart w:id="0" w:name="_GoBack"/>
            <w:bookmarkEnd w:id="0"/>
          </w:p>
        </w:tc>
        <w:tc>
          <w:tcPr>
            <w:tcW w:w="941" w:type="dxa"/>
            <w:gridSpan w:val="2"/>
            <w:vMerge w:val="restart"/>
          </w:tcPr>
          <w:p>
            <w:r>
              <w:rPr>
                <w:rFonts w:hint="eastAsia"/>
              </w:rPr>
              <w:t>F</w:t>
            </w:r>
            <w:r>
              <w:t>8.9.5</w:t>
            </w:r>
          </w:p>
        </w:tc>
        <w:tc>
          <w:tcPr>
            <w:tcW w:w="747" w:type="dxa"/>
          </w:tcPr>
          <w:p>
            <w:r>
              <w:rPr>
                <w:rFonts w:hint="eastAsia"/>
              </w:rPr>
              <w:t>文件名称</w:t>
            </w:r>
          </w:p>
        </w:tc>
        <w:tc>
          <w:tcPr>
            <w:tcW w:w="9313" w:type="dxa"/>
            <w:gridSpan w:val="2"/>
          </w:tcPr>
          <w:p>
            <w:pPr>
              <w:spacing w:line="480" w:lineRule="exact"/>
            </w:pPr>
            <w:r>
              <w:rPr>
                <w:rFonts w:hint="eastAsia"/>
              </w:rPr>
              <w:t>如：</w:t>
            </w:r>
            <w:r>
              <w:rPr>
                <w:rFonts w:hint="eastAsia"/>
              </w:rPr>
              <w:sym w:font="Wingdings" w:char="00A8"/>
            </w:r>
            <w:r>
              <w:rPr>
                <w:rFonts w:hint="eastAsia"/>
              </w:rPr>
              <w:t>《产品召回/撤回控制程序》、</w:t>
            </w:r>
            <w:r>
              <w:rPr>
                <w:rFonts w:hint="eastAsia"/>
              </w:rPr>
              <w:sym w:font="Wingdings" w:char="00FE"/>
            </w:r>
            <w:r>
              <w:rPr>
                <w:rFonts w:hint="eastAsia"/>
              </w:rPr>
              <w:t>《食品召回控制程序》</w:t>
            </w:r>
          </w:p>
        </w:tc>
        <w:tc>
          <w:tcPr>
            <w:tcW w:w="155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7" w:hRule="atLeast"/>
        </w:trPr>
        <w:tc>
          <w:tcPr>
            <w:tcW w:w="2182" w:type="dxa"/>
            <w:gridSpan w:val="2"/>
            <w:vMerge w:val="continue"/>
          </w:tcPr>
          <w:p/>
        </w:tc>
        <w:tc>
          <w:tcPr>
            <w:tcW w:w="941" w:type="dxa"/>
            <w:gridSpan w:val="2"/>
            <w:vMerge w:val="continue"/>
          </w:tcPr>
          <w:p/>
        </w:tc>
        <w:tc>
          <w:tcPr>
            <w:tcW w:w="747" w:type="dxa"/>
          </w:tcPr>
          <w:p>
            <w:r>
              <w:rPr>
                <w:rFonts w:hint="eastAsia"/>
              </w:rPr>
              <w:t>运行证据</w:t>
            </w:r>
          </w:p>
        </w:tc>
        <w:tc>
          <w:tcPr>
            <w:tcW w:w="9313" w:type="dxa"/>
            <w:gridSpan w:val="2"/>
          </w:tcPr>
          <w:p>
            <w:r>
              <w:rPr>
                <w:rFonts w:hint="eastAsia"/>
              </w:rPr>
              <w:t>有权决定撤回/召回人员：</w:t>
            </w:r>
            <w:r>
              <w:rPr>
                <w:rFonts w:hint="eastAsia"/>
                <w:u w:val="single"/>
              </w:rPr>
              <w:t xml:space="preserve">    </w:t>
            </w:r>
            <w:r>
              <w:rPr>
                <w:rFonts w:hint="eastAsia" w:ascii="宋体" w:hAnsi="宋体" w:cs="宋体"/>
                <w:color w:val="000000"/>
                <w:szCs w:val="21"/>
                <w:u w:val="single"/>
              </w:rPr>
              <w:t>高云</w:t>
            </w:r>
            <w:r>
              <w:rPr>
                <w:rFonts w:ascii="宋体" w:hAnsi="宋体" w:cs="宋体"/>
                <w:color w:val="000000"/>
                <w:szCs w:val="21"/>
                <w:u w:val="single"/>
              </w:rPr>
              <w:t>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193" w:type="dxa"/>
                  <w:shd w:val="clear" w:color="auto" w:fill="auto"/>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人事部</w:t>
                  </w:r>
                </w:p>
              </w:tc>
              <w:tc>
                <w:tcPr>
                  <w:tcW w:w="301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193" w:type="dxa"/>
                  <w:shd w:val="clear" w:color="auto" w:fill="auto"/>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服务部</w:t>
                  </w:r>
                </w:p>
              </w:tc>
              <w:tc>
                <w:tcPr>
                  <w:tcW w:w="301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193" w:type="dxa"/>
                  <w:shd w:val="clear" w:color="auto" w:fill="auto"/>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服务部</w:t>
                  </w:r>
                </w:p>
              </w:tc>
              <w:tc>
                <w:tcPr>
                  <w:tcW w:w="301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1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服务部</w:t>
                  </w:r>
                </w:p>
              </w:tc>
              <w:tc>
                <w:tcPr>
                  <w:tcW w:w="301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193" w:type="dxa"/>
                  <w:shd w:val="clear" w:color="auto" w:fill="auto"/>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厨部</w:t>
                  </w:r>
                </w:p>
              </w:tc>
              <w:tc>
                <w:tcPr>
                  <w:tcW w:w="3015"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1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w:t>
                  </w:r>
                </w:p>
              </w:tc>
              <w:tc>
                <w:tcPr>
                  <w:tcW w:w="3015"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021.7.25</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就餐区有约十位顾客出现头晕、头痛、恶心、呕吐、腹痛、无力症状</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十名顾客的饭桌上都有“清炒四季豆”这道菜，未熟透。</w:t>
                  </w:r>
                </w:p>
                <w:p>
                  <w:pPr>
                    <w:rPr>
                      <w:rFonts w:asciiTheme="minorEastAsia" w:hAnsiTheme="minorEastAsia" w:eastAsiaTheme="minorEastAsia"/>
                      <w:szCs w:val="21"/>
                    </w:rPr>
                  </w:pPr>
                  <w:r>
                    <w:rPr>
                      <w:rFonts w:hint="eastAsia" w:asciiTheme="minorEastAsia" w:hAnsiTheme="minorEastAsia" w:eastAsiaTheme="minorEastAsia"/>
                      <w:szCs w:val="21"/>
                    </w:rPr>
                    <w:t>所有加工和食用了“清炒四季豆”菜肴的客户。</w:t>
                  </w:r>
                </w:p>
              </w:tc>
              <w:tc>
                <w:tcPr>
                  <w:tcW w:w="2695" w:type="dxa"/>
                  <w:shd w:val="clear" w:color="auto" w:fill="auto"/>
                </w:tcPr>
                <w:p>
                  <w:pPr>
                    <w:rPr>
                      <w:rFonts w:ascii="宋体" w:hAnsi="宋体"/>
                      <w:sz w:val="18"/>
                      <w:szCs w:val="18"/>
                    </w:rPr>
                  </w:pPr>
                  <w:r>
                    <w:rPr>
                      <w:rFonts w:hint="eastAsia" w:ascii="宋体" w:hAnsi="宋体"/>
                      <w:sz w:val="18"/>
                      <w:szCs w:val="18"/>
                    </w:rPr>
                    <w:t>停止对清炒四季豆的售卖和上桌，并通知广播人员以紧急语气通过广播或扩音喇叭对现场顾客进行喊话“请点过清炒四季豆的顾客立即停止对该菜的食用，请联系服务员换菜”，同时对该菜进行更换及回收。</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 作为管理评审的输入。</w:t>
            </w:r>
          </w:p>
        </w:tc>
        <w:tc>
          <w:tcPr>
            <w:tcW w:w="1559" w:type="dxa"/>
            <w:gridSpan w:val="2"/>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1522"/>
    <w:rsid w:val="00073A25"/>
    <w:rsid w:val="000A4138"/>
    <w:rsid w:val="000E6B21"/>
    <w:rsid w:val="00161E82"/>
    <w:rsid w:val="00182530"/>
    <w:rsid w:val="0019695B"/>
    <w:rsid w:val="001A2D7F"/>
    <w:rsid w:val="001C7DD2"/>
    <w:rsid w:val="002939AD"/>
    <w:rsid w:val="002B4D9A"/>
    <w:rsid w:val="00314AF6"/>
    <w:rsid w:val="00337922"/>
    <w:rsid w:val="00340867"/>
    <w:rsid w:val="00380837"/>
    <w:rsid w:val="003A198A"/>
    <w:rsid w:val="003B21C4"/>
    <w:rsid w:val="003B2496"/>
    <w:rsid w:val="003B4966"/>
    <w:rsid w:val="00410914"/>
    <w:rsid w:val="00417D46"/>
    <w:rsid w:val="00423D3B"/>
    <w:rsid w:val="00474F25"/>
    <w:rsid w:val="0048201E"/>
    <w:rsid w:val="004E4B92"/>
    <w:rsid w:val="005223A0"/>
    <w:rsid w:val="00536930"/>
    <w:rsid w:val="00564E53"/>
    <w:rsid w:val="0056561D"/>
    <w:rsid w:val="005D5659"/>
    <w:rsid w:val="00600C20"/>
    <w:rsid w:val="00644FE2"/>
    <w:rsid w:val="00670B28"/>
    <w:rsid w:val="0067640C"/>
    <w:rsid w:val="0068009A"/>
    <w:rsid w:val="00685166"/>
    <w:rsid w:val="006A55E2"/>
    <w:rsid w:val="006E678B"/>
    <w:rsid w:val="006E7B1D"/>
    <w:rsid w:val="006F277F"/>
    <w:rsid w:val="00721894"/>
    <w:rsid w:val="00744C1A"/>
    <w:rsid w:val="00747832"/>
    <w:rsid w:val="00751C5D"/>
    <w:rsid w:val="007757F3"/>
    <w:rsid w:val="00782163"/>
    <w:rsid w:val="0079152F"/>
    <w:rsid w:val="007C1B48"/>
    <w:rsid w:val="007E3B15"/>
    <w:rsid w:val="007E52E7"/>
    <w:rsid w:val="007E6AEB"/>
    <w:rsid w:val="007F0B9E"/>
    <w:rsid w:val="00834771"/>
    <w:rsid w:val="008973EE"/>
    <w:rsid w:val="008E71AB"/>
    <w:rsid w:val="00971600"/>
    <w:rsid w:val="00977FAF"/>
    <w:rsid w:val="009973B4"/>
    <w:rsid w:val="009C28C1"/>
    <w:rsid w:val="009F7EED"/>
    <w:rsid w:val="00A10A43"/>
    <w:rsid w:val="00A22A49"/>
    <w:rsid w:val="00A55742"/>
    <w:rsid w:val="00A80636"/>
    <w:rsid w:val="00A80EFB"/>
    <w:rsid w:val="00AC3F44"/>
    <w:rsid w:val="00AF0AAB"/>
    <w:rsid w:val="00B21204"/>
    <w:rsid w:val="00B703BC"/>
    <w:rsid w:val="00B80113"/>
    <w:rsid w:val="00B90F8E"/>
    <w:rsid w:val="00B93520"/>
    <w:rsid w:val="00BF597E"/>
    <w:rsid w:val="00C30412"/>
    <w:rsid w:val="00C51A36"/>
    <w:rsid w:val="00C55228"/>
    <w:rsid w:val="00C63768"/>
    <w:rsid w:val="00C82624"/>
    <w:rsid w:val="00CE315A"/>
    <w:rsid w:val="00D06F59"/>
    <w:rsid w:val="00D64EFB"/>
    <w:rsid w:val="00D8388C"/>
    <w:rsid w:val="00D96897"/>
    <w:rsid w:val="00E6224C"/>
    <w:rsid w:val="00EB0164"/>
    <w:rsid w:val="00EC4C9E"/>
    <w:rsid w:val="00ED0F62"/>
    <w:rsid w:val="00ED2C1D"/>
    <w:rsid w:val="00F00167"/>
    <w:rsid w:val="00F22105"/>
    <w:rsid w:val="00F547B1"/>
    <w:rsid w:val="00F8015C"/>
    <w:rsid w:val="00FE60B0"/>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1861A4"/>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BFB5AA0"/>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666F1"/>
    <w:rsid w:val="65BE04E1"/>
    <w:rsid w:val="65F429F0"/>
    <w:rsid w:val="665A6FDB"/>
    <w:rsid w:val="66B368AE"/>
    <w:rsid w:val="66B532F3"/>
    <w:rsid w:val="66C2760F"/>
    <w:rsid w:val="66FF1F55"/>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0440A"/>
    <w:rsid w:val="709946EC"/>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表格文字"/>
    <w:basedOn w:val="1"/>
    <w:qFormat/>
    <w:uiPriority w:val="0"/>
    <w:pPr>
      <w:spacing w:before="25" w:after="25"/>
    </w:pPr>
    <w:rPr>
      <w:bCs/>
      <w:spacing w:val="10"/>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523</Words>
  <Characters>2982</Characters>
  <Lines>24</Lines>
  <Paragraphs>6</Paragraphs>
  <TotalTime>42</TotalTime>
  <ScaleCrop>false</ScaleCrop>
  <LinksUpToDate>false</LinksUpToDate>
  <CharactersWithSpaces>3499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2021-09-18T06:19:00Z</dcterms:created>
  <dc:creator>微软用户</dc:creator>
  <cp:lastModifiedBy>肖新龙</cp:lastModifiedBy>
  <dcterms:modified xsi:type="dcterms:W3CDTF">2021-09-20T00:42:39Z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2149068F77664DF08968CCAB8A6D28ED</vt:lpwstr>
  </property>
</Properties>
</file>