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0948-2021-QEO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浙江沪润智能装备有限公司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91331021672573282F</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浙江沪润智能装备有限公司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Q：润滑泵及润滑系统的设计和生产</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E：润滑泵及润滑系统的设计和生产所涉及场所的相关环境管理活动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O：润滑泵及润滑系统的设计和生产所涉及场所的相关职业健康安全管理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浙江省玉环市玉城街道城北创融产业城45A幢（自主申报）</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浙江省玉环市玉城街道城北创融产业城45A幢（自主申报）</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val="0"/>
                <w:bCs w:val="0"/>
                <w:sz w:val="22"/>
                <w:szCs w:val="16"/>
                <w:lang w:val="en-US" w:eastAsia="zh-CN"/>
              </w:rPr>
              <w:t>Zhejiang Hurun Intelligent Equipment</w:t>
            </w:r>
            <w:r>
              <w:rPr>
                <w:rFonts w:cs="Arial"/>
                <w:b w:val="0"/>
                <w:bCs w:val="0"/>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default"/>
                <w:sz w:val="21"/>
                <w:szCs w:val="16"/>
                <w:lang w:val="en-US" w:eastAsia="zh-CN"/>
              </w:rPr>
            </w:pPr>
            <w:r>
              <w:rPr>
                <w:rFonts w:hint="eastAsia"/>
                <w:sz w:val="21"/>
                <w:szCs w:val="16"/>
                <w:lang w:val="en-US" w:eastAsia="zh-CN"/>
              </w:rPr>
              <w:t>Design and Manufacture of Lubricant Pump and Lubricant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default"/>
                <w:sz w:val="21"/>
                <w:szCs w:val="16"/>
                <w:lang w:val="en-US" w:eastAsia="zh-CN"/>
              </w:rPr>
            </w:pPr>
            <w:r>
              <w:rPr>
                <w:rFonts w:hint="eastAsia"/>
                <w:sz w:val="21"/>
                <w:szCs w:val="16"/>
                <w:lang w:val="en-US" w:eastAsia="zh-CN"/>
              </w:rPr>
              <w:t xml:space="preserve">Environmental Management Activities of the Site which Involved in the Design and Production of Lubrication Pumps and Systems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45A# Chuangrong Industry Zone, North of the City, Yucheng Street, Yuhuan City, Zhejiang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 xml:space="preserve">Occupational Health and Safety Management of the Site which Involved in the </w:t>
            </w:r>
            <w:r>
              <w:rPr>
                <w:rFonts w:hint="eastAsia"/>
                <w:sz w:val="21"/>
                <w:szCs w:val="16"/>
                <w:lang w:val="en-US" w:eastAsia="zh-CN"/>
              </w:rPr>
              <w:t xml:space="preserve">Design and Production of Lubrication Pumps and Systems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45A# Chuangrong Industry Zone, North of the City, Yucheng Street, Yuhuan City, Zhejiang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UAsCNgAAAAJAQAADwAAAAAAAAABACAAAAAiAAAAZHJzL2Rvd25yZXYu&#10;eG1sUEsBAhQAFAAAAAgAh07iQMU51BPCAQAAdwMAAA4AAAAAAAAAAQAgAAAAJwEAAGRycy9lMm9E&#10;b2MueG1sUEsFBgAAAAAGAAYAWQEAAFsFA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F2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WIN10</cp:lastModifiedBy>
  <cp:lastPrinted>2019-05-13T03:13:00Z</cp:lastPrinted>
  <dcterms:modified xsi:type="dcterms:W3CDTF">2021-10-14T01:50:02Z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CDC9136AA36C4E458600C8D9EF4C63BD</vt:lpwstr>
  </property>
  <property fmtid="{D5CDD505-2E9C-101B-9397-08002B2CF9AE}" pid="3" name="KSOProductBuildVer">
    <vt:lpwstr>2052-11.1.0.10938</vt:lpwstr>
  </property>
</Properties>
</file>