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浙江优百润食品有限公司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rFonts w:hint="eastAsia"/>
                <w:sz w:val="22"/>
                <w:szCs w:val="22"/>
                <w:lang w:val="en-US" w:eastAsia="zh-CN"/>
              </w:rPr>
              <w:t xml:space="preserve">CCAA 0008-2014 </w:t>
            </w:r>
            <w:r>
              <w:rPr>
                <w:rFonts w:hint="eastAsia"/>
                <w:sz w:val="22"/>
                <w:szCs w:val="22"/>
                <w:u w:val="single"/>
                <w:lang w:val="en-US" w:eastAsia="zh-CN"/>
              </w:rPr>
              <w:t>《食品安全管理体系 糕点生产企业要求》、CCAA 0009-2014 《食品安全管理体系 糖果类生产企业要求》、CCAA 0013-2014 《食品安全管理体系 冷冻饮品及食用冰生产企业要求》、GB/T 27302-2008 《食品安全管理体系 速冻方便食品生产企业要求》</w:t>
            </w:r>
            <w:r>
              <w:rPr>
                <w:sz w:val="22"/>
                <w:szCs w:val="22"/>
                <w:u w:val="single"/>
              </w:rPr>
              <w:t xml:space="preserve"> </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0022-2020-QF-2021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监督审核</w:t>
            </w:r>
            <w:r>
              <w:rPr>
                <w:rFonts w:hint="eastAsia"/>
                <w:sz w:val="22"/>
                <w:szCs w:val="22"/>
              </w:rPr>
              <w:t>第</w:t>
            </w:r>
            <w:r>
              <w:rPr>
                <w:sz w:val="22"/>
                <w:szCs w:val="22"/>
              </w:rPr>
              <w:t xml:space="preserve">( </w:t>
            </w:r>
            <w:r>
              <w:rPr>
                <w:rFonts w:hint="eastAsia"/>
                <w:sz w:val="22"/>
                <w:szCs w:val="22"/>
                <w:lang w:val="en-US" w:eastAsia="zh-CN"/>
              </w:rPr>
              <w:t>1</w:t>
            </w:r>
            <w:r>
              <w:rPr>
                <w:sz w:val="22"/>
                <w:szCs w:val="22"/>
              </w:rPr>
              <w:t>)</w:t>
            </w:r>
            <w:r>
              <w:rPr>
                <w:rFonts w:hint="eastAsia"/>
                <w:sz w:val="22"/>
                <w:szCs w:val="22"/>
                <w:lang w:val="en-US" w:eastAsia="zh-CN"/>
              </w:rPr>
              <w:t xml:space="preserve">次   </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组织</w:t>
            </w:r>
          </w:p>
        </w:tc>
        <w:tc>
          <w:tcPr>
            <w:tcW w:w="5595" w:type="dxa"/>
            <w:gridSpan w:val="3"/>
            <w:vAlign w:val="center"/>
          </w:tcPr>
          <w:p>
            <w:pPr>
              <w:jc w:val="center"/>
              <w:rPr>
                <w:sz w:val="18"/>
                <w:szCs w:val="18"/>
                <w:lang w:val="de-DE"/>
              </w:rPr>
            </w:pPr>
            <w:r>
              <w:rPr>
                <w:sz w:val="18"/>
                <w:szCs w:val="18"/>
                <w:lang w:val="de-DE"/>
              </w:rPr>
              <w:t>2020-N1QMS-1232380</w:t>
            </w:r>
          </w:p>
          <w:p>
            <w:pPr>
              <w:jc w:val="center"/>
              <w:rPr>
                <w:rFonts w:ascii="Times New Roman" w:hAnsi="Times New Roman" w:eastAsia="宋体" w:cs="Times New Roman"/>
                <w:kern w:val="2"/>
                <w:sz w:val="18"/>
                <w:szCs w:val="18"/>
                <w:lang w:val="de-DE" w:eastAsia="zh-CN" w:bidi="ar-SA"/>
              </w:rPr>
            </w:pPr>
            <w:r>
              <w:rPr>
                <w:sz w:val="18"/>
                <w:szCs w:val="18"/>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任泽华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18"/>
                <w:szCs w:val="18"/>
                <w:lang w:val="de-DE"/>
              </w:rPr>
            </w:pPr>
            <w:r>
              <w:rPr>
                <w:sz w:val="18"/>
                <w:szCs w:val="18"/>
                <w:lang w:val="de-DE"/>
              </w:rPr>
              <w:t>2019-N1QMS-3059498</w:t>
            </w:r>
          </w:p>
          <w:p>
            <w:pPr>
              <w:jc w:val="center"/>
              <w:rPr>
                <w:rFonts w:ascii="Times New Roman" w:hAnsi="Times New Roman" w:eastAsia="宋体" w:cs="Times New Roman"/>
                <w:kern w:val="2"/>
                <w:sz w:val="18"/>
                <w:szCs w:val="18"/>
                <w:lang w:val="de-DE" w:eastAsia="zh-CN" w:bidi="ar-SA"/>
              </w:rPr>
            </w:pPr>
            <w:r>
              <w:rPr>
                <w:sz w:val="18"/>
                <w:szCs w:val="18"/>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金鸟君</w:t>
            </w:r>
          </w:p>
        </w:tc>
        <w:tc>
          <w:tcPr>
            <w:tcW w:w="1184"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技术专家</w:t>
            </w: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2021-09-13上午8：30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2021-09-14 下午13:30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7D5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2021-09-14T06:40:38Z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