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bookmarkStart w:id="1" w:name="_GoBack"/>
      <w:r>
        <w:rPr>
          <w:rFonts w:hint="eastAsia"/>
          <w:color w:val="000000" w:themeColor="text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-286385</wp:posOffset>
            </wp:positionH>
            <wp:positionV relativeFrom="paragraph">
              <wp:posOffset>-640080</wp:posOffset>
            </wp:positionV>
            <wp:extent cx="7280910" cy="10342880"/>
            <wp:effectExtent l="0" t="0" r="8890" b="7620"/>
            <wp:wrapNone/>
            <wp:docPr id="2" name="图片 2" descr="3a3613730ac86add1356b34dc199b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a3613730ac86add1356b34dc199b7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80910" cy="1034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ascii="Times New Roman" w:hAnsi="Times New Roman" w:cs="Times New Roman"/>
          <w:sz w:val="20"/>
          <w:szCs w:val="28"/>
          <w:u w:val="single"/>
        </w:rPr>
        <w:t>0033-2019-2021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153"/>
        <w:gridCol w:w="1256"/>
        <w:gridCol w:w="1132"/>
        <w:gridCol w:w="1502"/>
        <w:gridCol w:w="1561"/>
        <w:gridCol w:w="1195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0" w:name="组织名称"/>
            <w:r>
              <w:rPr>
                <w:szCs w:val="21"/>
              </w:rPr>
              <w:t>陕西奉航科技有限责任公司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测量设备名称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编号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型号规格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检定/校准机构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检定/校准日期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√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检测</w:t>
            </w:r>
            <w:r>
              <w:rPr>
                <w:rFonts w:hint="default"/>
                <w:color w:val="000000" w:themeColor="text1"/>
                <w:szCs w:val="21"/>
                <w:lang w:eastAsia="zh-CN"/>
              </w:rPr>
              <w:t>实验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中心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外径千分尺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1079991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（25～50）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mm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±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0.004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㎜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3等量块</w:t>
            </w:r>
          </w:p>
        </w:tc>
        <w:tc>
          <w:tcPr>
            <w:tcW w:w="1561" w:type="dxa"/>
            <w:vMerge w:val="restar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东莞市帝恩检测有限公司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8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检测</w:t>
            </w:r>
            <w:r>
              <w:rPr>
                <w:rFonts w:hint="default"/>
                <w:color w:val="000000" w:themeColor="text1"/>
                <w:szCs w:val="21"/>
                <w:lang w:eastAsia="zh-CN"/>
              </w:rPr>
              <w:t>实验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中心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数显测厚仪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CHY-001</w:t>
            </w:r>
          </w:p>
        </w:tc>
        <w:tc>
          <w:tcPr>
            <w:tcW w:w="1256" w:type="dxa"/>
            <w:vAlign w:val="center"/>
          </w:tcPr>
          <w:p>
            <w:pPr>
              <w:ind w:left="420" w:hanging="420" w:hangingChars="20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（0～12.7）mm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±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0.009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㎜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2等量块</w:t>
            </w: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8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检测</w:t>
            </w:r>
            <w:r>
              <w:rPr>
                <w:rFonts w:hint="default"/>
                <w:color w:val="000000" w:themeColor="text1"/>
                <w:szCs w:val="21"/>
                <w:lang w:eastAsia="zh-CN"/>
              </w:rPr>
              <w:t>实验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中心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压力表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YLB-01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（0～60）MPa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1.6级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0.05级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活塞压力计</w:t>
            </w: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8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检测</w:t>
            </w:r>
            <w:r>
              <w:rPr>
                <w:rFonts w:hint="default"/>
                <w:color w:val="000000" w:themeColor="text1"/>
                <w:szCs w:val="21"/>
                <w:lang w:eastAsia="zh-CN"/>
              </w:rPr>
              <w:t>实验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中心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密度天平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P1865108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EK-300i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0.05g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F2砝码</w:t>
            </w: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8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带表卡尺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5301171052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（0～200）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mm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±0.02㎜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4等量块</w:t>
            </w: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8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数显高度尺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812060054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（0～300）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mm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±0.02㎜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4等量块</w:t>
            </w: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8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永寿县厂区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布氏硬度计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HB3000B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 w:themeColor="text1"/>
                <w:szCs w:val="21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=1.5%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 w:themeColor="text1"/>
                <w:szCs w:val="21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=2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标准布氏硬度计</w:t>
            </w: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14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永寿县厂区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电子天平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28190099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BSA124S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Ⅱ级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 w:themeColor="text1"/>
                <w:szCs w:val="21"/>
              </w:rPr>
              <w:t>F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砝码</w:t>
            </w: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14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</w:t>
            </w:r>
            <w:r>
              <w:rPr>
                <w:rFonts w:hint="eastAsia"/>
                <w:color w:val="000000" w:themeColor="text1"/>
                <w:szCs w:val="21"/>
              </w:rPr>
              <w:t>建最高计量标准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器</w:t>
            </w:r>
            <w:r>
              <w:rPr>
                <w:rFonts w:hint="eastAsia"/>
                <w:color w:val="000000" w:themeColor="text1"/>
                <w:szCs w:val="21"/>
              </w:rPr>
              <w:t>公司测量设备除自检外全部委托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东莞市帝恩检测有限公司</w:t>
            </w:r>
            <w:r>
              <w:rPr>
                <w:rFonts w:hint="eastAsia"/>
                <w:color w:val="000000" w:themeColor="text1"/>
                <w:szCs w:val="21"/>
              </w:rPr>
              <w:t>等机构检定/校准，校准/检定证书由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检测</w:t>
            </w:r>
            <w:r>
              <w:rPr>
                <w:rFonts w:hint="default"/>
                <w:color w:val="000000" w:themeColor="text1"/>
                <w:szCs w:val="21"/>
                <w:lang w:eastAsia="zh-CN"/>
              </w:rPr>
              <w:t>实验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中心</w:t>
            </w:r>
            <w:r>
              <w:rPr>
                <w:rFonts w:hint="eastAsia"/>
                <w:color w:val="000000" w:themeColor="text1"/>
                <w:szCs w:val="21"/>
              </w:rPr>
              <w:t>保存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抽查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 w:themeColor="text1"/>
                <w:szCs w:val="21"/>
              </w:rPr>
              <w:t>台件测量设备，符合量值溯源性管理的要求。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2336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7E5854"/>
    <w:rsid w:val="193C4868"/>
    <w:rsid w:val="37CA5AB2"/>
    <w:rsid w:val="53A671CF"/>
    <w:rsid w:val="593D17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2021-09-14T03:12:05Z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A0F449E6D8124F679C9FF35B91886904</vt:lpwstr>
  </property>
</Properties>
</file>