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bookmarkStart w:id="0" w:name="联系人"/>
            <w:r>
              <w:rPr>
                <w:rFonts w:hint="eastAsia"/>
                <w:sz w:val="24"/>
                <w:szCs w:val="24"/>
                <w:highlight w:val="none"/>
              </w:rPr>
              <w:t>吴勇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2021-09-23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 8.2产品和服务的要求； 9.1.2顾客满意；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5.3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管理手册第5.3章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主要负责客户委托订单的接收、合同评审、顾客满意度调查、顾客投诉处理等工作。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8"/>
              <w:tblW w:w="90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9"/>
              <w:gridCol w:w="3500"/>
              <w:gridCol w:w="1122"/>
              <w:gridCol w:w="15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86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50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8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客户满意率≥96%；           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顾客满意度=∑n1+n2+n3+……+ni/n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营销部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8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客户反馈处理率100%；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处理数/反馈总数×100%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营销部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28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合同评审率100%；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合同评审数/合同签订总数×100%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营销部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</w:trPr>
              <w:tc>
                <w:tcPr>
                  <w:tcW w:w="28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采购产品到货及时率98%以上</w:t>
                  </w:r>
                </w:p>
              </w:tc>
              <w:tc>
                <w:tcPr>
                  <w:tcW w:w="35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采购到货数/采购总数×100%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营销部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highlight w:val="white"/>
              </w:rPr>
              <w:t>与顾客有关的过程控制程序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121"/>
              <w:gridCol w:w="2480"/>
              <w:gridCol w:w="2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沟通阶段</w:t>
                  </w:r>
                </w:p>
              </w:tc>
              <w:tc>
                <w:tcPr>
                  <w:tcW w:w="3121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沟通渠道</w:t>
                  </w:r>
                </w:p>
              </w:tc>
              <w:tc>
                <w:tcPr>
                  <w:tcW w:w="232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售前</w:t>
                  </w:r>
                </w:p>
              </w:tc>
              <w:tc>
                <w:tcPr>
                  <w:tcW w:w="31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处理问询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vertAlign w:val="baseline"/>
                    </w:rPr>
                    <w:t>产品介绍、订货会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招、投标</w:t>
                  </w:r>
                </w:p>
              </w:tc>
              <w:tc>
                <w:tcPr>
                  <w:tcW w:w="24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324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售中</w:t>
                  </w:r>
                </w:p>
              </w:tc>
              <w:tc>
                <w:tcPr>
                  <w:tcW w:w="31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</w:t>
                  </w:r>
                  <w:r>
                    <w:rPr>
                      <w:rFonts w:hint="eastAsia"/>
                    </w:rPr>
                    <w:t>合同或订单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  <w:r>
                    <w:rPr>
                      <w:rFonts w:hint="eastAsia"/>
                    </w:rPr>
                    <w:t>变更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4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324" w:type="dxa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项目合同/产品质量委托检验合同书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</w:t>
                  </w:r>
                </w:p>
              </w:tc>
              <w:tc>
                <w:tcPr>
                  <w:tcW w:w="31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获取</w:t>
                  </w:r>
                  <w:r>
                    <w:rPr>
                      <w:rFonts w:hint="eastAsia"/>
                    </w:rPr>
                    <w:t>顾客反馈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投诉</w:t>
                  </w: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48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电子版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纸质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客诉电话</w:t>
                  </w:r>
                </w:p>
              </w:tc>
              <w:tc>
                <w:tcPr>
                  <w:tcW w:w="23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顾客满意度调查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特殊情况</w:t>
                  </w:r>
                </w:p>
              </w:tc>
              <w:tc>
                <w:tcPr>
                  <w:tcW w:w="31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8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有应急电话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在MSDS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文本</w:t>
                  </w:r>
                  <w:r>
                    <w:rPr>
                      <w:rFonts w:hint="eastAsia"/>
                      <w:highlight w:val="none"/>
                    </w:rPr>
                    <w:t>中包括：火灾、泄露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0" w:type="auto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21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3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产品和服务要求的确定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highlight w:val="white"/>
              </w:rPr>
              <w:t>与顾客有关的过程控制程序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向顾客提供的产品和服务的要求</w:t>
            </w:r>
            <w:r>
              <w:rPr>
                <w:rFonts w:hint="eastAsia"/>
                <w:lang w:val="en-US" w:eastAsia="zh-CN"/>
              </w:rPr>
              <w:t>取决于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适用的法律法规要求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含产品标准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：GB/T 50266-2013、</w:t>
            </w:r>
            <w:r>
              <w:rPr>
                <w:rFonts w:hint="eastAsia"/>
                <w:u w:val="single"/>
                <w:lang w:val="en-US" w:eastAsia="zh-CN"/>
              </w:rPr>
              <w:t xml:space="preserve"> JGJ/T 283-2012、JGJ/T281-2012、GB/T18477.1-2007等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组织认为的必要要求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企业或顾客技术要求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顾客要求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8.2.3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 w:ascii="宋体" w:hAnsi="宋体" w:cs="宋体"/>
                <w:color w:val="000000"/>
                <w:szCs w:val="21"/>
                <w:highlight w:val="white"/>
              </w:rPr>
              <w:t>与顾客有关的过程控制程序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目前和顾客约定的形式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招标书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投标书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书面合同（标书、合同、订单、传真）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口头合同（电话、口述）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电子合同（e-mail）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评审的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方式：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授权人签字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会签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开会讨论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盖章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t>填写表格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向顾客提供的产品和服务的要求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准确检测，按时出具检测报告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准确、及时出具检测报告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按照标准要求进行检测，检测人员具备相应的能力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GB 2763-2019、 GB5009.35、GB8538、GB4789.2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项目合同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432"/>
              <w:gridCol w:w="686"/>
              <w:gridCol w:w="372"/>
              <w:gridCol w:w="274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43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372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274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2021.03.22</w:t>
                  </w:r>
                </w:p>
              </w:tc>
              <w:tc>
                <w:tcPr>
                  <w:tcW w:w="243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lang w:val="en-US" w:eastAsia="zh-CN"/>
                    </w:rPr>
                    <w:t>四川成绵苍巴高速公路有限责任公司</w:t>
                  </w:r>
                </w:p>
              </w:tc>
              <w:tc>
                <w:tcPr>
                  <w:tcW w:w="68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74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按照抽检计划及有关要求按时完成抽样检验任务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进行中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2021.03.19</w:t>
                  </w:r>
                </w:p>
              </w:tc>
              <w:tc>
                <w:tcPr>
                  <w:tcW w:w="24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lang w:val="en-US" w:eastAsia="zh-CN"/>
                    </w:rPr>
                    <w:t>四川交投建设工程股份有限公司</w:t>
                  </w: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7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按照抽检计划及有关要求按时完成抽样检验任务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进行中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2021.04.19</w:t>
                  </w:r>
                </w:p>
              </w:tc>
              <w:tc>
                <w:tcPr>
                  <w:tcW w:w="24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lang w:val="en-US" w:eastAsia="zh-CN"/>
                    </w:rPr>
                    <w:t>贵州贵金高速公路有限公司</w:t>
                  </w: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7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按照抽检计划及有关要求按时完成抽样检验任务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进行中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与先前合同或订单的要求存在差异，有关事项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已得到解决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未解决，说明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顾客没有提供形成文件的要求，在接受顾客要求前应对顾客要求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。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网上销售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已存在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不存在（不涉及）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查看公司网站的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产品信息，如产品目录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具备提供产品或服务的能力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不具备提供产品或服务的能力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highlight w:val="white"/>
              </w:rPr>
              <w:t>与顾客有关的过程控制程序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技术要求（图纸、工艺）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</w:t>
            </w:r>
            <w:r>
              <w:rPr>
                <w:rFonts w:hint="eastAsia"/>
                <w:lang w:val="en-US" w:eastAsia="zh-CN"/>
              </w:rPr>
              <w:t>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近一年来未发生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ind w:left="210" w:leftChars="1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原材料采购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产品的设计和开发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产品检测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某加工工序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部分产品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工装订制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设备维修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运输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售后服务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不合格品处置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顾客满意调查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企业检测用化学试剂</w:t>
            </w:r>
            <w:r>
              <w:rPr>
                <w:rFonts w:hint="eastAsia"/>
                <w:vertAlign w:val="baseline"/>
                <w:lang w:val="en-US" w:eastAsia="zh-CN"/>
              </w:rPr>
              <w:t>购买只有一家供应商，和供应商协商订货后，公安局系统备案，直接购买，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供应商：绵阳市荣盛科技有限公司，针对此类供方进行索证、签订合同等管理。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从《外部服务供应者名录》中抽取下列证据：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外部服务供应者名录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绵阳市荣盛科技有限公司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化学试剂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91510703675760008K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《危化品经营许可书》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川锦安经（乙）字【2020】00343号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《非药品类易制毒化学品经营备案证明》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（川）2J51070303721号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产品附合格证明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43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drawing>
                      <wp:inline distT="0" distB="0" distL="114300" distR="114300">
                        <wp:extent cx="5595620" cy="3303905"/>
                        <wp:effectExtent l="0" t="0" r="5080" b="10795"/>
                        <wp:docPr id="2" name="图片 2" descr="购买易制爆危化品备案证明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购买易制爆危化品备案证明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95620" cy="3303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_GoBack"/>
                  <w:bookmarkEnd w:id="1"/>
                </w:p>
              </w:tc>
            </w:tr>
          </w:tbl>
          <w:tbl>
            <w:tblPr>
              <w:tblStyle w:val="9"/>
              <w:tblpPr w:leftFromText="180" w:rightFromText="180" w:vertAnchor="text" w:horzAnchor="page" w:tblpX="6836" w:tblpY="797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四川鑫路达试验仪器设备有限公司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试验检测设备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91510107MA61UL579F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产品附合格证明标签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金牛区路业兴五金销售部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五金配件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92510106MA6CLUYK5L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产品附合格证明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无线静态应变采集系统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江苏东华测试技术股份有限公司</w:t>
            </w:r>
            <w:r>
              <w:rPr>
                <w:rFonts w:hint="eastAsia"/>
                <w:lang w:val="en-US" w:eastAsia="zh-CN"/>
              </w:rPr>
              <w:t>与上述供方评价和选择控制情况。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一致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控制类型和程度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val="en-US" w:eastAsia="zh-CN"/>
              </w:rPr>
              <w:t>：《</w:t>
            </w:r>
            <w:r>
              <w:rPr>
                <w:rFonts w:hint="eastAsia"/>
                <w:highlight w:val="none"/>
              </w:rPr>
              <w:t>外部提供的过程、产品和服务的控制</w:t>
            </w:r>
            <w:r>
              <w:rPr>
                <w:rFonts w:hint="eastAsia"/>
                <w:highlight w:val="none"/>
                <w:lang w:val="en-US" w:eastAsia="zh-CN"/>
              </w:rPr>
              <w:t>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《采购控制程序》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对供方控制的类型和程度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外部服务供应者名录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》</w:t>
            </w:r>
          </w:p>
          <w:p>
            <w:pPr>
              <w:pStyle w:val="2"/>
              <w:rPr>
                <w:rFonts w:hint="eastAsia"/>
                <w:color w:val="0000FF"/>
                <w:u w:val="singl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绵阳市荣盛科技有限公司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化学试剂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供应能力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tbl>
            <w:tblPr>
              <w:tblStyle w:val="9"/>
              <w:tblpPr w:leftFromText="180" w:rightFromText="180" w:vertAnchor="text" w:horzAnchor="page" w:tblpX="104" w:tblpY="299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四川鑫路达试验仪器设备有限公司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试验检测设备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金牛区路业兴五金销售部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五金配件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8.4.3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</w:t>
            </w:r>
            <w:r>
              <w:rPr>
                <w:rFonts w:hint="eastAsia"/>
                <w:color w:val="auto"/>
              </w:rPr>
              <w:t>外部提供的过程、产品和服务的控制</w:t>
            </w:r>
            <w:r>
              <w:rPr>
                <w:rFonts w:hint="eastAsia"/>
                <w:color w:val="auto"/>
                <w:lang w:val="en-US" w:eastAsia="zh-CN"/>
              </w:rPr>
              <w:t>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《采购控制程序》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在与外部供方沟通之前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所确定的要求是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抽查《采购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及《采购申请表》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>组织与外部供方沟通以下要求：</w:t>
            </w:r>
          </w:p>
          <w:tbl>
            <w:tblPr>
              <w:tblStyle w:val="9"/>
              <w:tblW w:w="8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3206"/>
              <w:gridCol w:w="23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采购订单号/日期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 6月16日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2021年4月25日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3041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硝酸盐、硝酸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实验仪器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符合产品原厂技术标准，原装正品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产品标准、国标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批准</w:t>
                  </w:r>
                  <w:r>
                    <w:rPr>
                      <w:rFonts w:hint="eastAsia"/>
                      <w:highlight w:val="none"/>
                    </w:rPr>
                    <w:t xml:space="preserve">； 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行政部 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行政部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检验中心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沟通运输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沟通运输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供货及时、提供产品合格证、每年评价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320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</w:t>
            </w:r>
            <w:r>
              <w:rPr>
                <w:rFonts w:hint="eastAsia" w:ascii="宋体" w:hAnsi="宋体" w:cs="Times New Roman"/>
                <w:color w:val="000000"/>
                <w:spacing w:val="4"/>
                <w:szCs w:val="21"/>
                <w:lang w:bidi="ar-SA"/>
              </w:rPr>
              <w:t>顾客满意管理程序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顾客满意的收集、分析和改进证据如下：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320"/>
              <w:gridCol w:w="2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686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68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3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98%满意</w:t>
                  </w:r>
                </w:p>
              </w:tc>
              <w:tc>
                <w:tcPr>
                  <w:tcW w:w="26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/>
              </w:tc>
              <w:tc>
                <w:tcPr>
                  <w:tcW w:w="2686" w:type="dxa"/>
                </w:tcPr>
                <w:p/>
              </w:tc>
            </w:tr>
          </w:tbl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AB06D1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7F271E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6C5172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AD1D81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5946AF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1E1529E"/>
    <w:rsid w:val="324E5138"/>
    <w:rsid w:val="33013DB4"/>
    <w:rsid w:val="331E21CE"/>
    <w:rsid w:val="33562A0D"/>
    <w:rsid w:val="33715F28"/>
    <w:rsid w:val="33F07155"/>
    <w:rsid w:val="340C6245"/>
    <w:rsid w:val="343C4522"/>
    <w:rsid w:val="347A0336"/>
    <w:rsid w:val="3487202E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483332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B535D9"/>
    <w:rsid w:val="3EEF1E6E"/>
    <w:rsid w:val="3F654598"/>
    <w:rsid w:val="3FC6782A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4A567F5"/>
    <w:rsid w:val="453B1EBC"/>
    <w:rsid w:val="45635AEC"/>
    <w:rsid w:val="456C00D1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4F5882"/>
    <w:rsid w:val="475C4BFE"/>
    <w:rsid w:val="47BB044C"/>
    <w:rsid w:val="48262DE5"/>
    <w:rsid w:val="492B51B2"/>
    <w:rsid w:val="49C0281D"/>
    <w:rsid w:val="49E449BF"/>
    <w:rsid w:val="49EC77B8"/>
    <w:rsid w:val="49ED5B1C"/>
    <w:rsid w:val="4ACE08F2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A2DDF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A23DAA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F4827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82FC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3314AA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A54EF8"/>
    <w:rsid w:val="7AC22B97"/>
    <w:rsid w:val="7B1F77A4"/>
    <w:rsid w:val="7B292799"/>
    <w:rsid w:val="7BCC7CF4"/>
    <w:rsid w:val="7C090682"/>
    <w:rsid w:val="7C6A6CA8"/>
    <w:rsid w:val="7CF04E00"/>
    <w:rsid w:val="7D316A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16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2021-09-24T06:34:33Z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E7877099DCAC48F08D415BB9C7DF8524</vt:lpwstr>
  </property>
</Properties>
</file>