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行政部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盛小雪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>O5</w:t>
            </w:r>
            <w:r>
              <w:t>.</w:t>
            </w:r>
            <w:r>
              <w:rPr>
                <w:rFonts w:hint="eastAsia"/>
              </w:rPr>
              <w:t>3/</w:t>
            </w:r>
            <w:r>
              <w:t>6.1.2</w:t>
            </w:r>
            <w:r>
              <w:rPr>
                <w:rFonts w:hint="eastAsia"/>
              </w:rPr>
              <w:t>/6.2/</w:t>
            </w:r>
            <w:r>
              <w:rPr>
                <w:rFonts w:hint="eastAsia"/>
                <w:lang w:val="en-US" w:eastAsia="zh-CN"/>
              </w:rPr>
              <w:t>7.1/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2/</w:t>
            </w:r>
            <w:r>
              <w:rPr>
                <w:rFonts w:hint="eastAsia"/>
                <w:lang w:val="en-US" w:eastAsia="zh-CN"/>
              </w:rPr>
              <w:t>7.3/</w:t>
            </w:r>
            <w:r>
              <w:rPr>
                <w:rFonts w:hint="eastAsia"/>
              </w:rPr>
              <w:t>7.4/7.5/8.1/8.1.2/8.1.3/8.1.4/8.2</w:t>
            </w:r>
          </w:p>
          <w:p>
            <w:pPr>
              <w:pStyle w:val="10"/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 9.1.2法律法规要求和其他要求的合规性评价；10.2纠正措施；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O6.1.2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如：手册第6.1.2条款、《危险源辨识、风险评价和控制措施的确定程序》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</w:t>
            </w:r>
            <w:r>
              <w:rPr>
                <w:rFonts w:hint="eastAsia"/>
                <w:b/>
                <w:bCs/>
                <w:color w:val="auto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</w:rPr>
              <w:t>措施是</w:t>
            </w:r>
            <w:r>
              <w:rPr>
                <w:rFonts w:hint="eastAsia"/>
                <w:color w:val="auto"/>
              </w:rPr>
              <w:t>：</w:t>
            </w:r>
          </w:p>
          <w:tbl>
            <w:tblPr>
              <w:tblStyle w:val="7"/>
              <w:tblW w:w="91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448"/>
              <w:gridCol w:w="371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主要危险源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状态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火灾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正常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异常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紧急   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日常检查供电线路是否老化，安全用电，工作场所禁止火种，加强人员培训，做好消防应急演练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GB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触电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正常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异常 </w:t>
                  </w: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紧急   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日常检查供电线路是否老化，安全用电，加强人员培训，做好应急演练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GB" w:eastAsia="zh-CN"/>
                    </w:rPr>
                    <w:t>行政部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法规和其他要求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O6.1.3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如：管理手册、《</w:t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法律、法规和其他要求控制程序</w:t>
            </w:r>
            <w:r>
              <w:rPr>
                <w:rFonts w:hint="eastAsia"/>
                <w:color w:val="auto"/>
              </w:rPr>
              <w:t>》《法律法规清单》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组织收集法律法规和其他要求的渠道：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专业网站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主管机构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专业书店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列举主要的相关法律法规是：</w:t>
            </w:r>
          </w:p>
          <w:tbl>
            <w:tblPr>
              <w:tblStyle w:val="7"/>
              <w:tblW w:w="90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6"/>
              <w:gridCol w:w="1559"/>
              <w:gridCol w:w="2126"/>
              <w:gridCol w:w="15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法律法规名称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具体条款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应用过程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中华人民共和国消防法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消防安全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color w:val="auto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pStyle w:val="2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职业病防治法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lang w:val="en-GB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职业健康管理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pStyle w:val="20"/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机关、团体、企业、事业单位消防安全管理规定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消防安全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消防安全标志设置要求GB 15630-1995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消防安全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000000"/>
                    </w:rPr>
                    <w:t>危险化学品安全管理条例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lang w:val="en-US" w:eastAsia="zh-CN"/>
                    </w:rPr>
                    <w:t>健康</w:t>
                  </w: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安全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eastAsia="zh-CN"/>
                    </w:rPr>
                    <w:t>行政部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color w:val="auto"/>
                <w:szCs w:val="18"/>
              </w:rPr>
              <w:t>查看《</w:t>
            </w:r>
            <w:r>
              <w:rPr>
                <w:rFonts w:hint="eastAsia"/>
                <w:color w:val="auto"/>
                <w:szCs w:val="18"/>
              </w:rPr>
              <w:t>安全生产</w:t>
            </w:r>
            <w:r>
              <w:rPr>
                <w:color w:val="auto"/>
                <w:szCs w:val="18"/>
              </w:rPr>
              <w:t>许可证》</w:t>
            </w:r>
            <w:r>
              <w:rPr>
                <w:rFonts w:hint="eastAsia"/>
                <w:color w:val="auto"/>
                <w:szCs w:val="18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不适用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有效期至：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auto"/>
                <w:szCs w:val="18"/>
              </w:rPr>
              <w:t xml:space="preserve">          范围：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                           </w:t>
            </w: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职业健康安全目标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O6.2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如：管理手册、附录《</w:t>
            </w:r>
            <w:r>
              <w:rPr>
                <w:rFonts w:hint="eastAsia"/>
                <w:color w:val="auto"/>
                <w:szCs w:val="21"/>
              </w:rPr>
              <w:t>职业健康安全目标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组织建立了与方针一致的文件化的管理目标。为实现总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目标而建立的各层级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目标具体、有针对性、可测量并且可实现。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  <w:r>
              <w:rPr>
                <w:rFonts w:hint="eastAsia"/>
                <w:color w:val="auto"/>
                <w:szCs w:val="21"/>
              </w:rPr>
              <w:t>职业健康安全</w:t>
            </w:r>
            <w:r>
              <w:rPr>
                <w:rFonts w:hint="eastAsia"/>
                <w:color w:val="auto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200"/>
              <w:gridCol w:w="128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auto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无职业病发生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auto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消防培训、演练完成率100%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消防培训、演练次数/计划消防培训、演练数×100%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无火灾、触电事故的发生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auto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0</w:t>
                  </w:r>
                </w:p>
              </w:tc>
            </w:tr>
          </w:tbl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目标已实现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000000"/>
                <w:szCs w:val="21"/>
              </w:rPr>
              <w:t>O7.1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如：手册第7.1条款、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建筑面积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2000   </w:t>
            </w:r>
            <w:r>
              <w:rPr>
                <w:rFonts w:hint="eastAsia"/>
                <w:vertAlign w:val="baseline"/>
                <w:lang w:val="en-US" w:eastAsia="zh-CN"/>
              </w:rPr>
              <w:t>平方米；生产车间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/ </w:t>
            </w:r>
            <w:r>
              <w:rPr>
                <w:rFonts w:hint="eastAsia"/>
                <w:vertAlign w:val="baseline"/>
                <w:lang w:val="en-US" w:eastAsia="zh-CN"/>
              </w:rPr>
              <w:t>个；库房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2 </w:t>
            </w:r>
            <w:r>
              <w:rPr>
                <w:rFonts w:hint="eastAsia"/>
                <w:vertAlign w:val="baseline"/>
                <w:lang w:val="en-US" w:eastAsia="zh-CN"/>
              </w:rPr>
              <w:t>个；实验室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6 </w:t>
            </w:r>
            <w:r>
              <w:rPr>
                <w:rFonts w:hint="eastAsia"/>
                <w:vertAlign w:val="baseline"/>
                <w:lang w:val="en-US" w:eastAsia="zh-CN"/>
              </w:rPr>
              <w:t>个；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主要生产设备有：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沸煮箱、电热恒温干燥箱、万能材料试验机、三用恒温水浴箱、冲击韧度试验机、回弹仪、位移传感器、电子天平      （列举2~4种）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职业病危害评价费用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5万 元</w:t>
            </w:r>
          </w:p>
          <w:p>
            <w:pPr>
              <w:rPr>
                <w:rFonts w:hint="eastAsia" w:ascii="Calibri" w:hAnsi="Calibri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3万元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需要从外部供方获得的资源：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组织承包的西南科技大学老区实验楼。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                  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O7.2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《能力、培训和意识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详见行政部Q7.2审核记录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O7.3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《员工能力和意识培训程序》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 xml:space="preserve">组织工作人员提高职业健康安全意识的方式： </w:t>
            </w:r>
          </w:p>
          <w:tbl>
            <w:tblPr>
              <w:tblStyle w:val="8"/>
              <w:tblW w:w="70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O7.4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参与协商、信息</w:t>
            </w:r>
            <w:r>
              <w:rPr>
                <w:rFonts w:hint="eastAsia"/>
                <w:color w:val="auto"/>
                <w:highlight w:val="none"/>
              </w:rPr>
              <w:t>沟通控制程序》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组织考虑了合规义务，确保环境信息与环境管理体系形成的信息一致且真实可信。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详见行政部Q7.4审核记录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</w:rPr>
              <w:t>形成文件的信息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E7.5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《文件控制程序》、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《记录控制程序》、《文件化信息控制程序》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详见行政部Q7.5审核记录 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如《</w:t>
            </w:r>
            <w:r>
              <w:rPr>
                <w:rFonts w:hint="eastAsia"/>
                <w:color w:val="auto"/>
                <w:sz w:val="24"/>
                <w:szCs w:val="24"/>
              </w:rPr>
              <w:t>运行过程控制程序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8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步骤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职业健康安全措施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措施评估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建立过程准则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编制安全操作规程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有运行控制记录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保持和保留必要的文件化信息，以确信过程已按策划得到实施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有运行控制记录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使工作适合于工作人员</w:t>
                  </w:r>
                </w:p>
              </w:tc>
              <w:tc>
                <w:tcPr>
                  <w:tcW w:w="3952" w:type="dxa"/>
                </w:tcPr>
                <w:p>
                  <w:r>
                    <w:rPr>
                      <w:rFonts w:hint="eastAsia"/>
                    </w:rPr>
                    <w:t>征求员工的意见</w:t>
                  </w:r>
                </w:p>
              </w:tc>
              <w:tc>
                <w:tcPr>
                  <w:tcW w:w="2109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充分 □不充分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r>
                    <w:rPr>
                      <w:rFonts w:hint="eastAsia"/>
                    </w:rPr>
                    <w:t>在多雇主的工作场所，组织应与其他组织协调职业健康安全管理体系的相关部分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r>
                    <w:rPr>
                      <w:rFonts w:hint="eastAsia"/>
                    </w:rPr>
                    <w:t>□充分 □不充分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查看在职人员健康体检报告：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健康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体检</w:t>
            </w:r>
            <w:r>
              <w:rPr>
                <w:rFonts w:hint="eastAsia"/>
                <w:color w:val="auto"/>
                <w:szCs w:val="18"/>
                <w:highlight w:val="none"/>
              </w:rPr>
              <w:t>报告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》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朱贤林，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体检日期：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2021 年 8月 23 日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四川省司法警官总医院  检查结果：合格   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严波，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2021 年 7月 27 日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四川省司法警官总医院  检查结果：合格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和办公区域配备了灭火器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和消防器材，进行定期消防演练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、安全防护：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公司给员工发放手套、口罩、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耳塞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等劳保用品，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和设备上悬挂安全警示牌。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设备运行状况良好，无带病工作现象。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、能提供防止员工意外伤害加重的急救药品如创可贴、杀菌药水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洗眼器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、为主要长期员工上社保，查见交款证明。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现场观察</w:t>
            </w:r>
          </w:p>
        </w:tc>
        <w:tc>
          <w:tcPr>
            <w:tcW w:w="9259" w:type="dxa"/>
            <w:vAlign w:val="center"/>
          </w:tcPr>
          <w:p>
            <w:pPr>
              <w:spacing w:line="360" w:lineRule="auto"/>
              <w:ind w:firstLine="421"/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观察运行控制：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巡视办公及</w:t>
            </w:r>
            <w:r>
              <w:rPr>
                <w:rFonts w:hint="eastAsia"/>
                <w:lang w:val="en-US" w:eastAsia="zh-CN"/>
              </w:rPr>
              <w:t>检验</w:t>
            </w:r>
            <w:r>
              <w:rPr>
                <w:rFonts w:hint="eastAsia"/>
              </w:rPr>
              <w:t>区域配备有灭火器多个，各</w:t>
            </w:r>
            <w:r>
              <w:rPr>
                <w:rFonts w:hint="eastAsia"/>
                <w:lang w:val="en-US" w:eastAsia="zh-CN"/>
              </w:rPr>
              <w:t>实验室</w:t>
            </w:r>
            <w:r>
              <w:rPr>
                <w:rFonts w:hint="eastAsia"/>
              </w:rPr>
              <w:t>均配有灭火器。</w:t>
            </w:r>
          </w:p>
          <w:p>
            <w:pPr>
              <w:spacing w:line="360" w:lineRule="auto"/>
              <w:ind w:firstLine="315" w:firstLineChars="150"/>
            </w:pPr>
            <w:r>
              <w:rPr>
                <w:rFonts w:hint="eastAsia"/>
              </w:rPr>
              <w:t>查看各</w:t>
            </w:r>
            <w:r>
              <w:rPr>
                <w:rFonts w:hint="eastAsia"/>
                <w:lang w:val="en-US" w:eastAsia="zh-CN"/>
              </w:rPr>
              <w:t>实验器材</w:t>
            </w:r>
            <w:r>
              <w:rPr>
                <w:rFonts w:hint="eastAsia"/>
              </w:rPr>
              <w:t>运转基本正常，人员操作方法合理，并佩带要相应的防护措施，如耳塞、口罩等。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5" w:firstLineChars="150"/>
            </w:pPr>
            <w:r>
              <w:rPr>
                <w:rFonts w:hint="eastAsia"/>
                <w:lang w:val="en-US" w:eastAsia="zh-CN"/>
              </w:rPr>
              <w:t>检验室</w:t>
            </w:r>
            <w:r>
              <w:rPr>
                <w:rFonts w:hint="eastAsia"/>
              </w:rPr>
              <w:t>标有各种警示标识，如：小心触电、</w:t>
            </w:r>
            <w:r>
              <w:rPr>
                <w:rFonts w:hint="eastAsia"/>
                <w:lang w:val="en-US" w:eastAsia="zh-CN"/>
              </w:rPr>
              <w:t>有毒有害、MSDS标识</w:t>
            </w:r>
            <w:r>
              <w:rPr>
                <w:rFonts w:hint="eastAsia"/>
              </w:rPr>
              <w:t>等，</w:t>
            </w:r>
            <w:r>
              <w:rPr>
                <w:rFonts w:hint="eastAsia"/>
                <w:lang w:val="en-US" w:eastAsia="zh-CN"/>
              </w:rPr>
              <w:t>实验室</w:t>
            </w:r>
            <w:r>
              <w:rPr>
                <w:rFonts w:hint="eastAsia"/>
              </w:rPr>
              <w:t>采光良好、空气流通，噪音较小对员工危害不大。</w:t>
            </w:r>
          </w:p>
          <w:p>
            <w:pPr>
              <w:spacing w:line="360" w:lineRule="auto"/>
            </w:pPr>
            <w:r>
              <w:t xml:space="preserve">  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lang w:val="en-US" w:eastAsia="zh-CN"/>
              </w:rPr>
              <w:t>检验</w:t>
            </w:r>
            <w:r>
              <w:rPr>
                <w:rFonts w:hint="eastAsia"/>
              </w:rPr>
              <w:t>人员交流了解到，员工均接受过环保和职业健康安全相关知识的培训，包括应急预案及演练等，现场人员交流对烫伤、</w:t>
            </w:r>
            <w:r>
              <w:rPr>
                <w:rFonts w:hint="eastAsia"/>
                <w:lang w:val="en-US" w:eastAsia="zh-CN"/>
              </w:rPr>
              <w:t>化学腐蚀</w:t>
            </w:r>
            <w:r>
              <w:rPr>
                <w:rFonts w:hint="eastAsia"/>
              </w:rPr>
              <w:t xml:space="preserve">、防火、逃生均较为清楚、明确，了解本岗位的安全操作规程。 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提供：劳保用品发放记录表，发放劳保用品有：工作服、</w:t>
            </w:r>
            <w:r>
              <w:rPr>
                <w:rFonts w:hint="eastAsia"/>
                <w:lang w:val="en-US" w:eastAsia="zh-CN"/>
              </w:rPr>
              <w:t>口罩</w:t>
            </w:r>
            <w:r>
              <w:rPr>
                <w:rFonts w:hint="eastAsia"/>
              </w:rPr>
              <w:t>、手套等。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实验室和办公场所</w:t>
            </w:r>
            <w:r>
              <w:rPr>
                <w:rFonts w:hint="eastAsia"/>
              </w:rPr>
              <w:t>在环保和职业健康安全防护方面的控制管理基本有效。</w:t>
            </w:r>
          </w:p>
          <w:p>
            <w:pPr>
              <w:pStyle w:val="10"/>
              <w:rPr>
                <w:rFonts w:hint="eastAsia"/>
              </w:rPr>
            </w:pPr>
          </w:p>
          <w:p>
            <w:pPr>
              <w:pStyle w:val="10"/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视频查看</w:t>
            </w: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none"/>
                <w:lang w:val="en-US" w:eastAsia="zh-CN"/>
              </w:rPr>
              <w:t>废酸液、废碱液，危废存放现场无</w:t>
            </w:r>
            <w:r>
              <w:rPr>
                <w:rFonts w:hint="eastAsia"/>
                <w:lang w:val="en-US" w:eastAsia="zh-CN"/>
              </w:rPr>
              <w:t>MSDS或告知卡  无防泄露措施，不符合GB/T 45001-2020 idt ISO45001：2018标准8.1条款:</w:t>
            </w:r>
            <w:r>
              <w:rPr>
                <w:rFonts w:hint="eastAsia" w:ascii="Arial" w:hAnsi="Arial"/>
              </w:rPr>
              <w:t>运行策划和控制</w:t>
            </w:r>
            <w:r>
              <w:rPr>
                <w:rFonts w:hint="eastAsia"/>
                <w:lang w:val="en-US" w:eastAsia="zh-CN"/>
              </w:rPr>
              <w:t>相关要求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控制层级</w:t>
                  </w:r>
                </w:p>
              </w:tc>
              <w:tc>
                <w:tcPr>
                  <w:tcW w:w="477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发放口罩、工作服、防护手套和防暑药品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变更管理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变更的内容：  无变更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工作场所的位置和周边环境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工作组织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工作条件 </w:t>
            </w:r>
            <w:r>
              <w:rPr>
                <w:rFonts w:hint="eastAsia"/>
                <w:color w:val="auto"/>
                <w:szCs w:val="21"/>
              </w:rPr>
              <w:t>□设备 □劳动力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法律法规要求和其他要求的变更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有关危险源和职业健康安全风险的知识或信息的变更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知识和技术的发展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其他；</w:t>
            </w:r>
          </w:p>
          <w:p>
            <w:pPr>
              <w:rPr>
                <w:color w:val="auto"/>
                <w:highlight w:val="yellow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抽取变更相关记录名称：</w:t>
            </w:r>
            <w:r>
              <w:rPr>
                <w:rFonts w:hint="eastAsia"/>
                <w:color w:val="auto"/>
                <w:u w:val="single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2121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变更的原因</w:t>
                  </w:r>
                </w:p>
              </w:tc>
              <w:tc>
                <w:tcPr>
                  <w:tcW w:w="212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变更的内容</w:t>
                  </w:r>
                </w:p>
              </w:tc>
              <w:tc>
                <w:tcPr>
                  <w:tcW w:w="111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121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临时性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</w:rPr>
              <w:t>如：《应急准备和响应控制程序》、《应急预案》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《安全事故应急救援预案》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本部门是否发生环境方面的应急的情况：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已发生，说明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本部门是否发生环境方面的应急演练：</w:t>
            </w:r>
          </w:p>
          <w:p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参加公司组织的应急演练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2021-04-10 火灾应急演练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本部门组织的专项应急演练 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1594"/>
              <w:gridCol w:w="34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  <w:t>实验室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火灾应急预案</w:t>
                  </w: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火灾应急预案可行、有效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合规性评价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《合规性评价程序》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自管理体系建立后/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近一年</w:t>
            </w:r>
            <w:r>
              <w:rPr>
                <w:rFonts w:hint="eastAsia"/>
                <w:color w:val="auto"/>
                <w:szCs w:val="18"/>
              </w:rPr>
              <w:t>，合规义务如下：</w:t>
            </w:r>
          </w:p>
          <w:p>
            <w:pPr>
              <w:rPr>
                <w:color w:val="auto"/>
                <w:szCs w:val="18"/>
              </w:rPr>
            </w:pPr>
          </w:p>
          <w:tbl>
            <w:tblPr>
              <w:tblStyle w:val="8"/>
              <w:tblW w:w="88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736"/>
              <w:gridCol w:w="2530"/>
              <w:gridCol w:w="20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合规义务</w:t>
                  </w:r>
                </w:p>
              </w:tc>
              <w:tc>
                <w:tcPr>
                  <w:tcW w:w="173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评价日期</w:t>
                  </w:r>
                </w:p>
              </w:tc>
              <w:tc>
                <w:tcPr>
                  <w:tcW w:w="253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评价概述或结果</w:t>
                  </w:r>
                </w:p>
              </w:tc>
              <w:tc>
                <w:tcPr>
                  <w:tcW w:w="200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2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消防法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20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工伤保险条例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危险化学品安全管理条例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重大危险源辨识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安全生产法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20"/>
                    <w:jc w:val="lef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劳动合同法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53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达标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未达标</w:t>
                  </w:r>
                </w:p>
              </w:tc>
              <w:tc>
                <w:tcPr>
                  <w:tcW w:w="20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O9.2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《内部审核控制程序》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自管理体系建立后/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近一年</w:t>
            </w:r>
            <w:r>
              <w:rPr>
                <w:rFonts w:hint="eastAsia"/>
                <w:color w:val="auto"/>
                <w:szCs w:val="18"/>
                <w:highlight w:val="none"/>
              </w:rPr>
              <w:t>，于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20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21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年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月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15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auto"/>
                <w:szCs w:val="21"/>
                <w:highlight w:val="none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auto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管理层、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检验中心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..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  <w:highlight w:val="none"/>
                <w:u w:val="single"/>
              </w:rPr>
            </w:pP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《不符合项报告》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1  </w:t>
            </w:r>
            <w:r>
              <w:rPr>
                <w:rFonts w:hint="eastAsia"/>
              </w:rPr>
              <w:t>份；</w:t>
            </w:r>
          </w:p>
          <w:p>
            <w:pPr>
              <w:widowControl/>
              <w:spacing w:before="40"/>
              <w:ind w:left="2520" w:hanging="2520" w:hangingChars="1200"/>
              <w:jc w:val="left"/>
              <w:rPr>
                <w:rFonts w:hint="eastAsia"/>
                <w:i w:val="0"/>
                <w:iCs w:val="0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</w:rPr>
              <w:t>涉及的条款号或问题简述：</w:t>
            </w:r>
            <w:r>
              <w:rPr>
                <w:rFonts w:hint="eastAsia"/>
                <w:i w:val="0"/>
                <w:iCs w:val="0"/>
                <w:color w:val="auto"/>
                <w:szCs w:val="18"/>
                <w:highlight w:val="none"/>
                <w:u w:val="single"/>
                <w:lang w:val="en-US" w:eastAsia="zh-CN"/>
              </w:rPr>
              <w:t>行政部未对外来文件清单进行更新，不符合：GB/T 19001-2016、GB/T24001-2016 、、GB/T 45001-2020标准条款7.5标准条款</w:t>
            </w:r>
          </w:p>
          <w:p>
            <w:pPr>
              <w:widowControl/>
              <w:spacing w:before="40"/>
              <w:ind w:left="2520" w:hanging="2520" w:hangingChars="1200"/>
              <w:jc w:val="left"/>
            </w:pPr>
            <w:r>
              <w:rPr>
                <w:rFonts w:hint="eastAsia"/>
              </w:rPr>
              <w:t xml:space="preserve">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不符合项已关闭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不符合项未关闭</w:t>
            </w:r>
            <w:r>
              <w:rPr>
                <w:rFonts w:hint="eastAsia"/>
                <w:color w:val="auto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auto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体系运行有效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体系运行失效</w:t>
            </w:r>
            <w:r>
              <w:rPr>
                <w:rFonts w:hint="eastAsia"/>
                <w:color w:val="auto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不符合项未发生 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不符合项仍然存在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存在不符合但内审未发现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事件、</w:t>
            </w:r>
            <w:r>
              <w:rPr>
                <w:rFonts w:hint="eastAsia"/>
                <w:color w:val="auto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不符合、纠正和预防措施控制程序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不符合的来源：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相关方投诉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排放超标问题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工作运行中的问题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未发生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近一年未发生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抽查采取纠正措施相关记录名称：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》     </w:t>
            </w:r>
          </w:p>
          <w:p>
            <w:pPr>
              <w:rPr>
                <w:color w:val="auto"/>
                <w:highlight w:val="none"/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未再次发生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2509"/>
    <w:rsid w:val="000E6B21"/>
    <w:rsid w:val="00183D5C"/>
    <w:rsid w:val="001A2D7F"/>
    <w:rsid w:val="002939AD"/>
    <w:rsid w:val="00314AF6"/>
    <w:rsid w:val="00337922"/>
    <w:rsid w:val="00340867"/>
    <w:rsid w:val="00341FEC"/>
    <w:rsid w:val="00365206"/>
    <w:rsid w:val="00380837"/>
    <w:rsid w:val="003A198A"/>
    <w:rsid w:val="00410914"/>
    <w:rsid w:val="004177C7"/>
    <w:rsid w:val="0048201E"/>
    <w:rsid w:val="00536930"/>
    <w:rsid w:val="00542B45"/>
    <w:rsid w:val="005465FE"/>
    <w:rsid w:val="00556F28"/>
    <w:rsid w:val="00564E53"/>
    <w:rsid w:val="005D5659"/>
    <w:rsid w:val="00600C20"/>
    <w:rsid w:val="006117B3"/>
    <w:rsid w:val="0061454F"/>
    <w:rsid w:val="00644FE2"/>
    <w:rsid w:val="0067640C"/>
    <w:rsid w:val="006E678B"/>
    <w:rsid w:val="006E7B1D"/>
    <w:rsid w:val="007757F3"/>
    <w:rsid w:val="007C1B48"/>
    <w:rsid w:val="007D138F"/>
    <w:rsid w:val="007E3B15"/>
    <w:rsid w:val="007E6AEB"/>
    <w:rsid w:val="008973EE"/>
    <w:rsid w:val="00910B2E"/>
    <w:rsid w:val="009414D1"/>
    <w:rsid w:val="00971600"/>
    <w:rsid w:val="009973B4"/>
    <w:rsid w:val="009B06C2"/>
    <w:rsid w:val="009C28C1"/>
    <w:rsid w:val="009F7EED"/>
    <w:rsid w:val="00A213A0"/>
    <w:rsid w:val="00A34316"/>
    <w:rsid w:val="00A80636"/>
    <w:rsid w:val="00AF0AAB"/>
    <w:rsid w:val="00B445A8"/>
    <w:rsid w:val="00BF597E"/>
    <w:rsid w:val="00C50D1A"/>
    <w:rsid w:val="00C51A36"/>
    <w:rsid w:val="00C55228"/>
    <w:rsid w:val="00C63768"/>
    <w:rsid w:val="00C73C24"/>
    <w:rsid w:val="00CE315A"/>
    <w:rsid w:val="00D06F59"/>
    <w:rsid w:val="00D23E59"/>
    <w:rsid w:val="00D75334"/>
    <w:rsid w:val="00D8388C"/>
    <w:rsid w:val="00E339C8"/>
    <w:rsid w:val="00E6224C"/>
    <w:rsid w:val="00E86A01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A71448"/>
    <w:rsid w:val="02B64C88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450D9A"/>
    <w:rsid w:val="05505823"/>
    <w:rsid w:val="056577F0"/>
    <w:rsid w:val="056A75E8"/>
    <w:rsid w:val="05705C5F"/>
    <w:rsid w:val="059C20C3"/>
    <w:rsid w:val="05A05014"/>
    <w:rsid w:val="05D46CFB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BD667A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699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DC6D1E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87546B"/>
    <w:rsid w:val="179B1D36"/>
    <w:rsid w:val="17C079EC"/>
    <w:rsid w:val="17C85124"/>
    <w:rsid w:val="17F76BA3"/>
    <w:rsid w:val="18086A43"/>
    <w:rsid w:val="182A24A8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CE791A"/>
    <w:rsid w:val="1FD479C4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330973"/>
    <w:rsid w:val="226B2F60"/>
    <w:rsid w:val="227B5AC7"/>
    <w:rsid w:val="22813299"/>
    <w:rsid w:val="229F2D1A"/>
    <w:rsid w:val="23363714"/>
    <w:rsid w:val="23461CA8"/>
    <w:rsid w:val="238A1BAA"/>
    <w:rsid w:val="23900E62"/>
    <w:rsid w:val="239357EF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360AB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3653F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77C72"/>
    <w:rsid w:val="2DDF08DF"/>
    <w:rsid w:val="2DFF79D8"/>
    <w:rsid w:val="2E367C56"/>
    <w:rsid w:val="2E440885"/>
    <w:rsid w:val="2E4875EB"/>
    <w:rsid w:val="2E876968"/>
    <w:rsid w:val="2EEE512C"/>
    <w:rsid w:val="2F7C571D"/>
    <w:rsid w:val="2F7C614A"/>
    <w:rsid w:val="2F8205CC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1F3799E"/>
    <w:rsid w:val="32341738"/>
    <w:rsid w:val="324E5138"/>
    <w:rsid w:val="325022C9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1F702C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A520F3"/>
    <w:rsid w:val="39D7104B"/>
    <w:rsid w:val="39DC06E8"/>
    <w:rsid w:val="3A0E0B2A"/>
    <w:rsid w:val="3A177901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C43B15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B28F9"/>
    <w:rsid w:val="3F8E03C8"/>
    <w:rsid w:val="3FA434FD"/>
    <w:rsid w:val="3FB13910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794AD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D71EB0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7752EA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8A7B2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4FA253D6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535835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C014E9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5E0918"/>
    <w:rsid w:val="57A14CB5"/>
    <w:rsid w:val="57F55B90"/>
    <w:rsid w:val="580F191D"/>
    <w:rsid w:val="58276F84"/>
    <w:rsid w:val="582C648F"/>
    <w:rsid w:val="58584813"/>
    <w:rsid w:val="58B728A2"/>
    <w:rsid w:val="58B868EB"/>
    <w:rsid w:val="58C56D77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A05F94"/>
    <w:rsid w:val="5FCC65B3"/>
    <w:rsid w:val="5FE015B4"/>
    <w:rsid w:val="5FE25FD5"/>
    <w:rsid w:val="6018182B"/>
    <w:rsid w:val="601E0F43"/>
    <w:rsid w:val="60250281"/>
    <w:rsid w:val="604E6EEE"/>
    <w:rsid w:val="60596F8D"/>
    <w:rsid w:val="608075E1"/>
    <w:rsid w:val="60E47C4C"/>
    <w:rsid w:val="61017B9D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4FE7845"/>
    <w:rsid w:val="65067C78"/>
    <w:rsid w:val="65305A43"/>
    <w:rsid w:val="653121E6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E842F6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396F84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77F5E"/>
    <w:rsid w:val="6E641038"/>
    <w:rsid w:val="6E887DC7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53E9B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BC231D"/>
    <w:rsid w:val="7EDA5201"/>
    <w:rsid w:val="7F541664"/>
    <w:rsid w:val="7F697999"/>
    <w:rsid w:val="7F763028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三级条标题"/>
    <w:basedOn w:val="18"/>
    <w:next w:val="16"/>
    <w:qFormat/>
    <w:uiPriority w:val="0"/>
    <w:pPr>
      <w:numPr>
        <w:ilvl w:val="4"/>
      </w:numPr>
      <w:outlineLvl w:val="4"/>
    </w:pPr>
  </w:style>
  <w:style w:type="paragraph" w:customStyle="1" w:styleId="18">
    <w:name w:val="二级条标题"/>
    <w:basedOn w:val="19"/>
    <w:next w:val="16"/>
    <w:qFormat/>
    <w:uiPriority w:val="0"/>
    <w:pPr>
      <w:numPr>
        <w:ilvl w:val="3"/>
      </w:numPr>
      <w:outlineLvl w:val="3"/>
    </w:pPr>
  </w:style>
  <w:style w:type="paragraph" w:customStyle="1" w:styleId="19">
    <w:name w:val="一级条标题"/>
    <w:next w:val="16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2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1223</Words>
  <Characters>6972</Characters>
  <Lines>58</Lines>
  <Paragraphs>16</Paragraphs>
  <TotalTime>4</TotalTime>
  <ScaleCrop>false</ScaleCrop>
  <LinksUpToDate>false</LinksUpToDate>
  <CharactersWithSpaces>8179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2021-09-24T09:25:41Z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CD59AAD22CE54819898A80AE7284F626</vt:lpwstr>
  </property>
</Properties>
</file>