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color w:val="auto"/>
          <w:sz w:val="28"/>
          <w:szCs w:val="28"/>
          <w:lang w:eastAsia="zh-CN"/>
        </w:rPr>
      </w:pPr>
      <w:bookmarkStart w:id="33" w:name="_GoBack"/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6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auto"/>
                <w:sz w:val="21"/>
                <w:szCs w:val="21"/>
              </w:rPr>
              <w:t>昆明路景建材有限公司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云南省昆明市安宁市草铺街道麒麟办事处下麒麟村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昆明市官渡区万科魅力之城5期9幢1902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4" w:name="联系人"/>
            <w:r>
              <w:rPr>
                <w:color w:val="auto"/>
                <w:sz w:val="21"/>
                <w:szCs w:val="21"/>
              </w:rPr>
              <w:t>王瑞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5" w:name="联系人手机"/>
            <w:r>
              <w:rPr>
                <w:color w:val="auto"/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6" w:name="联系人邮箱"/>
            <w:r>
              <w:rPr>
                <w:color w:val="auto"/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bookmarkStart w:id="7" w:name="最高管理者"/>
            <w:bookmarkEnd w:id="7"/>
            <w:bookmarkStart w:id="8" w:name="管理者代表"/>
            <w:r>
              <w:rPr>
                <w:rFonts w:hint="eastAsia"/>
                <w:color w:val="auto"/>
                <w:sz w:val="21"/>
                <w:szCs w:val="21"/>
              </w:rPr>
              <w:t>叶</w:t>
            </w:r>
            <w:bookmarkEnd w:id="8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艳丰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color w:val="auto"/>
              </w:rPr>
            </w:pPr>
            <w:bookmarkStart w:id="9" w:name="管代电话"/>
            <w:bookmarkEnd w:id="9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合同编号</w:t>
            </w:r>
            <w:r>
              <w:rPr>
                <w:rFonts w:hint="eastAsia"/>
                <w:color w:val="auto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bookmarkStart w:id="10" w:name="合同编号"/>
            <w:r>
              <w:rPr>
                <w:color w:val="auto"/>
                <w:sz w:val="20"/>
              </w:rPr>
              <w:t>0822-2021-QEO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color w:val="auto"/>
                <w:spacing w:val="-2"/>
                <w:sz w:val="20"/>
              </w:rPr>
            </w:pPr>
            <w:bookmarkStart w:id="11" w:name="Q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1"/>
            <w:r>
              <w:rPr>
                <w:color w:val="auto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pacing w:val="-2"/>
                <w:sz w:val="20"/>
              </w:rPr>
              <w:t>Ec</w:t>
            </w:r>
            <w:r>
              <w:rPr>
                <w:color w:val="auto"/>
                <w:spacing w:val="-2"/>
                <w:sz w:val="20"/>
              </w:rPr>
              <w:t>MS</w:t>
            </w:r>
            <w:bookmarkStart w:id="12" w:name="E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2"/>
            <w:r>
              <w:rPr>
                <w:color w:val="auto"/>
                <w:spacing w:val="-2"/>
                <w:sz w:val="20"/>
              </w:rPr>
              <w:t>EMS</w:t>
            </w:r>
            <w:bookmarkStart w:id="13" w:name="S勾选Add1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3"/>
            <w:r>
              <w:rPr>
                <w:color w:val="auto"/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4" w:name="F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FSMS </w:t>
            </w:r>
            <w:bookmarkStart w:id="15" w:name="H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HACCP  </w:t>
            </w:r>
            <w:bookmarkStart w:id="16" w:name="EnMs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7" w:name="初审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初次认证第（二）阶段</w:t>
            </w:r>
            <w:bookmarkStart w:id="18" w:name="监督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监督审核 </w:t>
            </w:r>
            <w:bookmarkStart w:id="19" w:name="再认证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</w:t>
            </w:r>
            <w:r>
              <w:rPr>
                <w:rFonts w:hint="eastAsia"/>
                <w:color w:val="auto"/>
                <w:sz w:val="20"/>
              </w:rPr>
              <w:t>塑料波纹管、建材(声测管、钢筋网片、金属波纹管、土工合成材料)的销售</w:t>
            </w:r>
            <w:r>
              <w:rPr>
                <w:color w:val="auto"/>
                <w:sz w:val="20"/>
              </w:rPr>
              <w:t>所涉及场所的相关环境管理活动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</w:t>
            </w:r>
            <w:r>
              <w:rPr>
                <w:rFonts w:hint="eastAsia"/>
                <w:color w:val="auto"/>
                <w:sz w:val="20"/>
              </w:rPr>
              <w:t>塑料波纹管、建材(声测管、钢筋网片、金属波纹管、土工合成材料)的销售</w:t>
            </w:r>
            <w:r>
              <w:rPr>
                <w:color w:val="auto"/>
                <w:sz w:val="20"/>
              </w:rPr>
              <w:t>所涉及场所的相关职业健康安全管理活动</w:t>
            </w:r>
          </w:p>
          <w:p>
            <w:pPr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color w:val="auto"/>
                <w:sz w:val="20"/>
              </w:rPr>
              <w:t>Q：</w:t>
            </w:r>
            <w:r>
              <w:rPr>
                <w:rFonts w:hint="eastAsia"/>
                <w:color w:val="auto"/>
                <w:sz w:val="20"/>
              </w:rPr>
              <w:t>塑料波纹管、建材(声测管、钢筋网片、金属波纹管、土工合成材料)的销售</w:t>
            </w:r>
          </w:p>
        </w:tc>
        <w:tc>
          <w:tcPr>
            <w:tcW w:w="680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bookmarkStart w:id="23" w:name="专业代码"/>
            <w:r>
              <w:rPr>
                <w:color w:val="auto"/>
                <w:sz w:val="20"/>
              </w:rPr>
              <w:t>E：29.12.00</w:t>
            </w:r>
          </w:p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O：29.12.00</w:t>
            </w:r>
          </w:p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Q：29.12.00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auto"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color w:val="auto"/>
                <w:sz w:val="20"/>
              </w:rPr>
              <w:t>2021年10月12日 下午至2021年10月14日 上午</w:t>
            </w:r>
            <w:bookmarkEnd w:id="31"/>
            <w:r>
              <w:rPr>
                <w:rFonts w:hint="eastAsia"/>
                <w:b/>
                <w:color w:val="auto"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color w:val="auto"/>
                <w:sz w:val="20"/>
              </w:rPr>
              <w:t>2.0</w:t>
            </w:r>
            <w:bookmarkEnd w:id="32"/>
            <w:r>
              <w:rPr>
                <w:rFonts w:hint="eastAsia"/>
                <w:b/>
                <w:color w:val="auto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lang w:val="de-DE"/>
              </w:rPr>
              <w:t>■</w:t>
            </w:r>
            <w:r>
              <w:rPr>
                <w:rFonts w:hint="eastAsia"/>
                <w:b/>
                <w:color w:val="auto"/>
                <w:sz w:val="20"/>
              </w:rPr>
              <w:t>普通话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英语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189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2021-N1OHSMS-1267598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O:29.12.00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Q:29.12.00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18983000183</w:t>
            </w:r>
          </w:p>
        </w:tc>
        <w:tc>
          <w:tcPr>
            <w:tcW w:w="1189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15181072354 17709081193</w:t>
            </w:r>
          </w:p>
        </w:tc>
        <w:tc>
          <w:tcPr>
            <w:tcW w:w="1189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组内代码</w:t>
            </w:r>
          </w:p>
        </w:tc>
        <w:tc>
          <w:tcPr>
            <w:tcW w:w="1189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89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89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0"/>
                <w:lang w:val="de-DE"/>
              </w:rPr>
              <w:t>冉景洲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审核方案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252" w:type="dxa"/>
            <w:gridSpan w:val="5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0"/>
                <w:lang w:val="de-DE"/>
              </w:rPr>
              <w:t>18983000183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52" w:type="dxa"/>
            <w:gridSpan w:val="5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2021年10月11日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2021年10月11日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1189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</w:tbl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012"/>
        <w:gridCol w:w="5758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7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758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16:00-17:30</w:t>
            </w:r>
          </w:p>
        </w:tc>
        <w:tc>
          <w:tcPr>
            <w:tcW w:w="1012" w:type="dxa"/>
          </w:tcPr>
          <w:p>
            <w:pPr>
              <w:spacing w:line="300" w:lineRule="exact"/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758" w:type="dxa"/>
          </w:tcPr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758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8:30-12:00（午餐12：00-13：00）</w:t>
            </w:r>
          </w:p>
        </w:tc>
        <w:tc>
          <w:tcPr>
            <w:tcW w:w="1012" w:type="dxa"/>
            <w:vAlign w:val="top"/>
          </w:tcPr>
          <w:p>
            <w:pPr>
              <w:spacing w:line="300" w:lineRule="exact"/>
              <w:jc w:val="both"/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758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/权限；6.2质量目标及其实现的策划；7.1.3基础设施； 7.1.4过程运行环境；7.1.5监视和测量设备；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8.1运行策划和控制；8.2产品和服务的要求；8.3设计开发控制；8.4外部提供供方的控制；8.5.1生产和服务提供的控制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；8.5.2标识和可追溯性；8.5.3顾客或外部供方的财产；8.5.4防护；8.5.5交付后的活动；8.5.6更改控制，8.6产品和服务放行；8.7不合格输出的控制；9.1.2顾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客满意；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13:00-17：30</w:t>
            </w:r>
          </w:p>
        </w:tc>
        <w:tc>
          <w:tcPr>
            <w:tcW w:w="1012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758" w:type="dxa"/>
            <w:vAlign w:val="top"/>
          </w:tcPr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织的角色、职责和权限、6.2质量目标及其实现的策划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6.1.2危险源辨识和职业安全风险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8:30-17:30（午餐12：00-13：00）</w:t>
            </w:r>
          </w:p>
        </w:tc>
        <w:tc>
          <w:tcPr>
            <w:tcW w:w="1012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spacing w:line="300" w:lineRule="exact"/>
              <w:jc w:val="both"/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(含财务)</w:t>
            </w:r>
          </w:p>
        </w:tc>
        <w:tc>
          <w:tcPr>
            <w:tcW w:w="5758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8：30-11：30</w:t>
            </w:r>
          </w:p>
        </w:tc>
        <w:tc>
          <w:tcPr>
            <w:tcW w:w="1012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spacing w:line="300" w:lineRule="exact"/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(含财务)</w:t>
            </w:r>
          </w:p>
        </w:tc>
        <w:tc>
          <w:tcPr>
            <w:tcW w:w="5758" w:type="dxa"/>
            <w:vAlign w:val="top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8：30-11：30</w:t>
            </w:r>
          </w:p>
        </w:tc>
        <w:tc>
          <w:tcPr>
            <w:tcW w:w="1012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spacing w:line="300" w:lineRule="exact"/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(含财务)</w:t>
            </w:r>
          </w:p>
        </w:tc>
        <w:tc>
          <w:tcPr>
            <w:tcW w:w="5758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冉景洲、余家龙</w:t>
            </w:r>
          </w:p>
        </w:tc>
      </w:tr>
    </w:tbl>
    <w:p>
      <w:pPr>
        <w:rPr>
          <w:color w:val="auto"/>
        </w:rPr>
      </w:pPr>
    </w:p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rPr>
          <w:color w:val="auto"/>
        </w:rPr>
      </w:pPr>
    </w:p>
    <w:p>
      <w:pPr>
        <w:rPr>
          <w:color w:val="auto"/>
        </w:rPr>
      </w:pPr>
    </w:p>
    <w:bookmarkEnd w:id="33"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858A6"/>
    <w:rsid w:val="11CE67AF"/>
    <w:rsid w:val="293F3339"/>
    <w:rsid w:val="34F4517D"/>
    <w:rsid w:val="3AD6562A"/>
    <w:rsid w:val="3CF355AB"/>
    <w:rsid w:val="3FD76424"/>
    <w:rsid w:val="407A6D55"/>
    <w:rsid w:val="42967797"/>
    <w:rsid w:val="44FF4BFC"/>
    <w:rsid w:val="48081E23"/>
    <w:rsid w:val="4A7D1241"/>
    <w:rsid w:val="4D433344"/>
    <w:rsid w:val="57020A52"/>
    <w:rsid w:val="5B8D4A68"/>
    <w:rsid w:val="5B922F04"/>
    <w:rsid w:val="627054FC"/>
    <w:rsid w:val="71BF6B45"/>
    <w:rsid w:val="7F217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cp:lastPrinted>2021-10-12T08:33:25Z</cp:lastPrinted>
  <dcterms:modified xsi:type="dcterms:W3CDTF">2021-10-12T09:08:04Z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