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1591"/>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591" w:type="dxa"/>
            <w:vAlign w:val="center"/>
          </w:tcPr>
          <w:p>
            <w:pPr>
              <w:rPr>
                <w:sz w:val="24"/>
                <w:szCs w:val="24"/>
              </w:rPr>
            </w:pPr>
            <w:r>
              <w:rPr>
                <w:rFonts w:hint="eastAsia"/>
                <w:sz w:val="24"/>
                <w:szCs w:val="24"/>
              </w:rPr>
              <w:t>受审核部门：综合办</w:t>
            </w:r>
            <w:r>
              <w:rPr>
                <w:rFonts w:hint="eastAsia" w:ascii="宋体" w:hAnsi="宋体"/>
                <w:kern w:val="0"/>
                <w:szCs w:val="21"/>
              </w:rPr>
              <w:t>（含食堂、宿舍、厂区）</w:t>
            </w:r>
            <w:r>
              <w:rPr>
                <w:rFonts w:hint="eastAsia"/>
                <w:sz w:val="24"/>
                <w:szCs w:val="24"/>
              </w:rPr>
              <w:t xml:space="preserve">    主管领导：庞向军       陪同人员：王毅</w:t>
            </w:r>
          </w:p>
        </w:tc>
        <w:tc>
          <w:tcPr>
            <w:tcW w:w="54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Merge w:val="continue"/>
            <w:vAlign w:val="center"/>
          </w:tcPr>
          <w:p/>
        </w:tc>
        <w:tc>
          <w:tcPr>
            <w:tcW w:w="968" w:type="dxa"/>
            <w:vMerge w:val="continue"/>
            <w:vAlign w:val="center"/>
          </w:tcPr>
          <w:p/>
        </w:tc>
        <w:tc>
          <w:tcPr>
            <w:tcW w:w="11591"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 </w:t>
            </w:r>
            <w:r>
              <w:rPr>
                <w:rFonts w:hint="eastAsia"/>
                <w:sz w:val="24"/>
                <w:szCs w:val="24"/>
              </w:rPr>
              <w:t>郭力                               审核时间：202</w:t>
            </w:r>
            <w:r>
              <w:rPr>
                <w:rFonts w:hint="eastAsia"/>
                <w:sz w:val="24"/>
                <w:szCs w:val="24"/>
                <w:lang w:val="en-US" w:eastAsia="zh-CN"/>
              </w:rPr>
              <w:t>1</w:t>
            </w:r>
            <w:r>
              <w:rPr>
                <w:rFonts w:hint="eastAsia"/>
                <w:sz w:val="24"/>
                <w:szCs w:val="24"/>
              </w:rPr>
              <w:t>.</w:t>
            </w:r>
            <w:r>
              <w:rPr>
                <w:rFonts w:hint="eastAsia"/>
                <w:sz w:val="24"/>
                <w:szCs w:val="24"/>
                <w:lang w:val="en-US" w:eastAsia="zh-CN"/>
              </w:rPr>
              <w:t>9</w:t>
            </w:r>
            <w:r>
              <w:rPr>
                <w:rFonts w:hint="eastAsia"/>
                <w:sz w:val="24"/>
                <w:szCs w:val="24"/>
              </w:rPr>
              <w:t>.</w:t>
            </w:r>
            <w:r>
              <w:rPr>
                <w:rFonts w:hint="eastAsia"/>
                <w:sz w:val="24"/>
                <w:szCs w:val="24"/>
                <w:lang w:val="en-US" w:eastAsia="zh-CN"/>
              </w:rPr>
              <w:t>13</w:t>
            </w:r>
          </w:p>
        </w:tc>
        <w:tc>
          <w:tcPr>
            <w:tcW w:w="5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08" w:type="dxa"/>
            <w:vMerge w:val="continue"/>
            <w:vAlign w:val="center"/>
          </w:tcPr>
          <w:p/>
        </w:tc>
        <w:tc>
          <w:tcPr>
            <w:tcW w:w="968" w:type="dxa"/>
            <w:vMerge w:val="continue"/>
            <w:vAlign w:val="center"/>
          </w:tcPr>
          <w:p/>
        </w:tc>
        <w:tc>
          <w:tcPr>
            <w:tcW w:w="11591" w:type="dxa"/>
            <w:vAlign w:val="center"/>
          </w:tcPr>
          <w:p>
            <w:pPr>
              <w:spacing w:line="360" w:lineRule="auto"/>
              <w:rPr>
                <w:szCs w:val="22"/>
              </w:rPr>
            </w:pPr>
            <w:r>
              <w:rPr>
                <w:rFonts w:hint="eastAsia"/>
                <w:szCs w:val="22"/>
              </w:rPr>
              <w:t>审核条款：</w:t>
            </w:r>
          </w:p>
          <w:p>
            <w:pPr>
              <w:spacing w:line="360" w:lineRule="auto"/>
              <w:rPr>
                <w:sz w:val="24"/>
                <w:szCs w:val="24"/>
              </w:rPr>
            </w:pPr>
            <w:r>
              <w:rPr>
                <w:rFonts w:hint="eastAsia"/>
                <w:color w:val="000000" w:themeColor="text1"/>
                <w:szCs w:val="22"/>
              </w:rPr>
              <w:t>EMS: 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5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组织的岗位、职责和权限</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E5.3</w:t>
            </w:r>
          </w:p>
        </w:tc>
        <w:tc>
          <w:tcPr>
            <w:tcW w:w="11591" w:type="dxa"/>
          </w:tcPr>
          <w:p>
            <w:pPr>
              <w:spacing w:line="360" w:lineRule="auto"/>
              <w:rPr>
                <w:color w:val="000000" w:themeColor="text1"/>
                <w:szCs w:val="22"/>
              </w:rPr>
            </w:pPr>
            <w:r>
              <w:rPr>
                <w:rFonts w:hint="eastAsia"/>
                <w:color w:val="000000" w:themeColor="text1"/>
                <w:szCs w:val="22"/>
              </w:rPr>
              <w:t>部门负责人：庞向军</w:t>
            </w:r>
          </w:p>
          <w:p>
            <w:pPr>
              <w:spacing w:line="360" w:lineRule="auto"/>
              <w:rPr>
                <w:color w:val="000000" w:themeColor="text1"/>
                <w:szCs w:val="22"/>
              </w:rPr>
            </w:pPr>
            <w:r>
              <w:rPr>
                <w:rFonts w:hint="eastAsia"/>
                <w:color w:val="000000" w:themeColor="text1"/>
                <w:szCs w:val="22"/>
              </w:rPr>
              <w:t>询问主要职责：</w:t>
            </w:r>
          </w:p>
          <w:p>
            <w:pPr>
              <w:spacing w:line="360" w:lineRule="auto"/>
              <w:rPr>
                <w:color w:val="000000" w:themeColor="text1"/>
                <w:szCs w:val="22"/>
              </w:rPr>
            </w:pPr>
            <w:r>
              <w:rPr>
                <w:rFonts w:hint="eastAsia"/>
                <w:color w:val="000000" w:themeColor="text1"/>
                <w:szCs w:val="22"/>
              </w:rPr>
              <w:t>1) 具体负责环境管理体系的建立与实施；</w:t>
            </w:r>
          </w:p>
          <w:p>
            <w:pPr>
              <w:spacing w:line="360" w:lineRule="auto"/>
              <w:rPr>
                <w:color w:val="000000" w:themeColor="text1"/>
                <w:szCs w:val="22"/>
              </w:rPr>
            </w:pPr>
            <w:r>
              <w:rPr>
                <w:rFonts w:hint="eastAsia"/>
                <w:color w:val="000000" w:themeColor="text1"/>
                <w:szCs w:val="22"/>
              </w:rPr>
              <w:t>2) 组织环境因素识别与评价，确定重要环境因素；</w:t>
            </w:r>
          </w:p>
          <w:p>
            <w:pPr>
              <w:spacing w:line="360" w:lineRule="auto"/>
              <w:rPr>
                <w:color w:val="000000" w:themeColor="text1"/>
                <w:szCs w:val="22"/>
              </w:rPr>
            </w:pPr>
            <w:r>
              <w:rPr>
                <w:rFonts w:hint="eastAsia"/>
                <w:color w:val="000000" w:themeColor="text1"/>
                <w:szCs w:val="22"/>
              </w:rPr>
              <w:t>3) 组织环境管理体系内审及各种评审；</w:t>
            </w:r>
          </w:p>
          <w:p>
            <w:pPr>
              <w:spacing w:line="360" w:lineRule="auto"/>
              <w:rPr>
                <w:color w:val="000000" w:themeColor="text1"/>
                <w:szCs w:val="22"/>
              </w:rPr>
            </w:pPr>
            <w:r>
              <w:rPr>
                <w:rFonts w:hint="eastAsia"/>
                <w:color w:val="000000" w:themeColor="text1"/>
                <w:szCs w:val="22"/>
              </w:rPr>
              <w:t>4) 负责获取、识别和更新适用的环境法律法规及其他要求，组织实施对法律法规遵循情况的评价；</w:t>
            </w:r>
          </w:p>
          <w:p>
            <w:pPr>
              <w:spacing w:line="360" w:lineRule="auto"/>
              <w:rPr>
                <w:color w:val="000000" w:themeColor="text1"/>
                <w:szCs w:val="22"/>
              </w:rPr>
            </w:pPr>
            <w:r>
              <w:rPr>
                <w:rFonts w:hint="eastAsia"/>
                <w:color w:val="000000" w:themeColor="text1"/>
                <w:szCs w:val="22"/>
              </w:rPr>
              <w:t>5) 组织环境管理体系文件的编写和文件的管理；</w:t>
            </w:r>
          </w:p>
          <w:p>
            <w:pPr>
              <w:spacing w:line="360" w:lineRule="auto"/>
              <w:rPr>
                <w:color w:val="000000" w:themeColor="text1"/>
                <w:szCs w:val="22"/>
              </w:rPr>
            </w:pPr>
            <w:r>
              <w:rPr>
                <w:rFonts w:hint="eastAsia"/>
                <w:color w:val="000000" w:themeColor="text1"/>
                <w:szCs w:val="22"/>
              </w:rPr>
              <w:t>6) 组织制定环境目标、指标和方案，并对完成情况进行监督检查；</w:t>
            </w:r>
          </w:p>
          <w:p>
            <w:pPr>
              <w:spacing w:line="360" w:lineRule="auto"/>
              <w:rPr>
                <w:color w:val="000000" w:themeColor="text1"/>
                <w:szCs w:val="22"/>
              </w:rPr>
            </w:pPr>
            <w:r>
              <w:rPr>
                <w:rFonts w:hint="eastAsia"/>
                <w:color w:val="000000" w:themeColor="text1"/>
                <w:szCs w:val="22"/>
              </w:rPr>
              <w:t>7) 负责内、外部环境信息交流；</w:t>
            </w:r>
          </w:p>
          <w:p>
            <w:pPr>
              <w:spacing w:line="360" w:lineRule="auto"/>
              <w:rPr>
                <w:color w:val="000000" w:themeColor="text1"/>
                <w:szCs w:val="22"/>
              </w:rPr>
            </w:pPr>
            <w:r>
              <w:rPr>
                <w:rFonts w:hint="eastAsia"/>
                <w:color w:val="000000" w:themeColor="text1"/>
                <w:szCs w:val="22"/>
              </w:rPr>
              <w:t>8) 负责环境管理体系运行的监督检查，对纠正预措施和预防措施跟踪验证；</w:t>
            </w:r>
          </w:p>
          <w:p>
            <w:pPr>
              <w:spacing w:line="360" w:lineRule="auto"/>
              <w:rPr>
                <w:color w:val="000000" w:themeColor="text1"/>
                <w:szCs w:val="22"/>
              </w:rPr>
            </w:pPr>
            <w:r>
              <w:rPr>
                <w:rFonts w:hint="eastAsia"/>
                <w:color w:val="000000" w:themeColor="text1"/>
                <w:szCs w:val="22"/>
              </w:rPr>
              <w:t>……</w:t>
            </w:r>
          </w:p>
          <w:p>
            <w:pPr>
              <w:spacing w:line="360" w:lineRule="auto"/>
              <w:rPr>
                <w:color w:val="000000" w:themeColor="text1"/>
                <w:szCs w:val="22"/>
              </w:rPr>
            </w:pPr>
            <w:r>
              <w:rPr>
                <w:rFonts w:hint="eastAsia"/>
                <w:color w:val="000000" w:themeColor="text1"/>
                <w:szCs w:val="22"/>
              </w:rPr>
              <w:t>部门职责清晰、明确。综合办负责人能基本阐述本部门的主要职责。</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ind w:firstLine="210" w:firstLineChars="100"/>
              <w:rPr>
                <w:color w:val="000000" w:themeColor="text1"/>
                <w:szCs w:val="22"/>
              </w:rPr>
            </w:pPr>
            <w:r>
              <w:rPr>
                <w:rFonts w:hint="eastAsia"/>
                <w:color w:val="000000" w:themeColor="text1"/>
                <w:szCs w:val="22"/>
              </w:rPr>
              <w:t>目标</w:t>
            </w:r>
          </w:p>
        </w:tc>
        <w:tc>
          <w:tcPr>
            <w:tcW w:w="968" w:type="dxa"/>
            <w:vAlign w:val="center"/>
          </w:tcPr>
          <w:p>
            <w:pPr>
              <w:spacing w:line="360" w:lineRule="auto"/>
              <w:rPr>
                <w:color w:val="000000" w:themeColor="text1"/>
                <w:szCs w:val="22"/>
              </w:rPr>
            </w:pPr>
            <w:r>
              <w:rPr>
                <w:rFonts w:hint="eastAsia"/>
                <w:color w:val="000000" w:themeColor="text1"/>
                <w:szCs w:val="22"/>
              </w:rPr>
              <w:t>E6.2</w:t>
            </w:r>
          </w:p>
        </w:tc>
        <w:tc>
          <w:tcPr>
            <w:tcW w:w="11591" w:type="dxa"/>
          </w:tcPr>
          <w:p>
            <w:pPr>
              <w:spacing w:line="360" w:lineRule="auto"/>
              <w:rPr>
                <w:color w:val="000000" w:themeColor="text1"/>
                <w:szCs w:val="22"/>
              </w:rPr>
            </w:pPr>
            <w:r>
              <w:rPr>
                <w:rFonts w:hint="eastAsia"/>
                <w:color w:val="000000" w:themeColor="text1"/>
                <w:szCs w:val="22"/>
              </w:rPr>
              <w:t>提供陕西奉航科技有限责任公司202</w:t>
            </w:r>
            <w:r>
              <w:rPr>
                <w:rFonts w:hint="eastAsia"/>
                <w:color w:val="000000" w:themeColor="text1"/>
                <w:szCs w:val="22"/>
                <w:lang w:val="en-US" w:eastAsia="zh-CN"/>
              </w:rPr>
              <w:t>1</w:t>
            </w:r>
            <w:r>
              <w:rPr>
                <w:rFonts w:hint="eastAsia"/>
                <w:color w:val="000000" w:themeColor="text1"/>
                <w:szCs w:val="22"/>
              </w:rPr>
              <w:t xml:space="preserve">年度环境目标、指标与管理方案一览表 </w:t>
            </w:r>
          </w:p>
          <w:tbl>
            <w:tblPr>
              <w:tblStyle w:val="9"/>
              <w:tblW w:w="12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14"/>
              <w:gridCol w:w="1319"/>
              <w:gridCol w:w="3605"/>
              <w:gridCol w:w="898"/>
              <w:gridCol w:w="822"/>
              <w:gridCol w:w="985"/>
              <w:gridCol w:w="707"/>
              <w:gridCol w:w="726"/>
              <w:gridCol w:w="745"/>
              <w:gridCol w:w="669"/>
              <w:gridCol w:w="662"/>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42" w:type="dxa"/>
                  <w:vMerge w:val="restart"/>
                  <w:noWrap w:val="0"/>
                  <w:vAlign w:val="center"/>
                </w:tcPr>
                <w:p>
                  <w:pPr>
                    <w:jc w:val="center"/>
                    <w:rPr>
                      <w:rFonts w:hint="eastAsia" w:eastAsia="黑体"/>
                      <w:sz w:val="21"/>
                      <w:szCs w:val="21"/>
                    </w:rPr>
                  </w:pPr>
                  <w:r>
                    <w:rPr>
                      <w:rFonts w:hint="eastAsia" w:eastAsia="黑体"/>
                      <w:sz w:val="21"/>
                      <w:szCs w:val="21"/>
                    </w:rPr>
                    <w:t>序</w:t>
                  </w:r>
                </w:p>
                <w:p>
                  <w:pPr>
                    <w:jc w:val="center"/>
                    <w:rPr>
                      <w:rFonts w:hint="eastAsia" w:eastAsia="黑体"/>
                      <w:sz w:val="21"/>
                      <w:szCs w:val="21"/>
                    </w:rPr>
                  </w:pPr>
                  <w:r>
                    <w:rPr>
                      <w:rFonts w:hint="eastAsia" w:eastAsia="黑体"/>
                      <w:sz w:val="21"/>
                      <w:szCs w:val="21"/>
                    </w:rPr>
                    <w:t>号</w:t>
                  </w:r>
                </w:p>
              </w:tc>
              <w:tc>
                <w:tcPr>
                  <w:tcW w:w="714" w:type="dxa"/>
                  <w:vMerge w:val="restart"/>
                  <w:noWrap w:val="0"/>
                  <w:vAlign w:val="center"/>
                </w:tcPr>
                <w:p>
                  <w:pPr>
                    <w:jc w:val="center"/>
                    <w:rPr>
                      <w:rFonts w:hint="eastAsia" w:eastAsia="黑体"/>
                      <w:sz w:val="21"/>
                      <w:szCs w:val="21"/>
                    </w:rPr>
                  </w:pPr>
                  <w:r>
                    <w:rPr>
                      <w:rFonts w:hint="eastAsia" w:eastAsia="黑体"/>
                      <w:sz w:val="21"/>
                      <w:szCs w:val="21"/>
                    </w:rPr>
                    <w:t>环境目标</w:t>
                  </w:r>
                </w:p>
              </w:tc>
              <w:tc>
                <w:tcPr>
                  <w:tcW w:w="1319" w:type="dxa"/>
                  <w:vMerge w:val="restart"/>
                  <w:noWrap w:val="0"/>
                  <w:vAlign w:val="center"/>
                </w:tcPr>
                <w:p>
                  <w:pPr>
                    <w:jc w:val="center"/>
                    <w:rPr>
                      <w:rFonts w:hint="eastAsia" w:eastAsia="黑体"/>
                      <w:sz w:val="21"/>
                      <w:szCs w:val="21"/>
                    </w:rPr>
                  </w:pPr>
                  <w:r>
                    <w:rPr>
                      <w:rFonts w:hint="eastAsia" w:eastAsia="黑体"/>
                      <w:sz w:val="21"/>
                      <w:szCs w:val="21"/>
                    </w:rPr>
                    <w:t>环境指标</w:t>
                  </w:r>
                </w:p>
              </w:tc>
              <w:tc>
                <w:tcPr>
                  <w:tcW w:w="3605" w:type="dxa"/>
                  <w:vMerge w:val="restart"/>
                  <w:noWrap w:val="0"/>
                  <w:vAlign w:val="center"/>
                </w:tcPr>
                <w:p>
                  <w:pPr>
                    <w:jc w:val="center"/>
                    <w:rPr>
                      <w:rFonts w:hint="eastAsia" w:eastAsia="黑体"/>
                      <w:sz w:val="21"/>
                      <w:szCs w:val="21"/>
                    </w:rPr>
                  </w:pPr>
                  <w:r>
                    <w:rPr>
                      <w:rFonts w:hint="eastAsia" w:eastAsia="黑体"/>
                      <w:sz w:val="21"/>
                      <w:szCs w:val="21"/>
                    </w:rPr>
                    <w:t>环　境　管　理　方　案</w:t>
                  </w:r>
                </w:p>
                <w:p>
                  <w:pPr>
                    <w:jc w:val="center"/>
                    <w:rPr>
                      <w:rFonts w:hint="eastAsia" w:eastAsia="黑体"/>
                      <w:sz w:val="21"/>
                      <w:szCs w:val="21"/>
                    </w:rPr>
                  </w:pPr>
                  <w:r>
                    <w:rPr>
                      <w:rFonts w:hint="eastAsia" w:eastAsia="黑体"/>
                      <w:sz w:val="21"/>
                      <w:szCs w:val="21"/>
                    </w:rPr>
                    <w:t>（方法、措施与要求）</w:t>
                  </w:r>
                </w:p>
              </w:tc>
              <w:tc>
                <w:tcPr>
                  <w:tcW w:w="898" w:type="dxa"/>
                  <w:vMerge w:val="restart"/>
                  <w:noWrap w:val="0"/>
                  <w:vAlign w:val="center"/>
                </w:tcPr>
                <w:p>
                  <w:pPr>
                    <w:jc w:val="center"/>
                    <w:rPr>
                      <w:rFonts w:hint="eastAsia" w:eastAsia="黑体"/>
                      <w:sz w:val="21"/>
                      <w:szCs w:val="21"/>
                    </w:rPr>
                  </w:pPr>
                  <w:r>
                    <w:rPr>
                      <w:rFonts w:hint="eastAsia" w:eastAsia="黑体"/>
                      <w:sz w:val="21"/>
                      <w:szCs w:val="21"/>
                    </w:rPr>
                    <w:t>费　用</w:t>
                  </w:r>
                </w:p>
                <w:p>
                  <w:pPr>
                    <w:jc w:val="center"/>
                    <w:rPr>
                      <w:rFonts w:hint="eastAsia" w:eastAsia="黑体"/>
                      <w:sz w:val="21"/>
                      <w:szCs w:val="21"/>
                    </w:rPr>
                  </w:pPr>
                  <w:r>
                    <w:rPr>
                      <w:rFonts w:hint="eastAsia" w:eastAsia="黑体"/>
                      <w:sz w:val="21"/>
                      <w:szCs w:val="21"/>
                    </w:rPr>
                    <w:t>预　算</w:t>
                  </w:r>
                </w:p>
                <w:p>
                  <w:pPr>
                    <w:rPr>
                      <w:rFonts w:hint="eastAsia" w:eastAsia="黑体"/>
                      <w:sz w:val="21"/>
                      <w:szCs w:val="21"/>
                    </w:rPr>
                  </w:pPr>
                  <w:r>
                    <w:rPr>
                      <w:rFonts w:hint="eastAsia" w:eastAsia="黑体"/>
                      <w:sz w:val="21"/>
                      <w:szCs w:val="21"/>
                    </w:rPr>
                    <w:t>（千无）</w:t>
                  </w:r>
                </w:p>
              </w:tc>
              <w:tc>
                <w:tcPr>
                  <w:tcW w:w="822" w:type="dxa"/>
                  <w:vMerge w:val="restart"/>
                  <w:noWrap w:val="0"/>
                  <w:vAlign w:val="center"/>
                </w:tcPr>
                <w:p>
                  <w:pPr>
                    <w:jc w:val="center"/>
                    <w:rPr>
                      <w:rFonts w:hint="eastAsia" w:eastAsia="黑体"/>
                      <w:sz w:val="21"/>
                      <w:szCs w:val="21"/>
                    </w:rPr>
                  </w:pPr>
                  <w:r>
                    <w:rPr>
                      <w:rFonts w:hint="eastAsia" w:eastAsia="黑体"/>
                      <w:sz w:val="21"/>
                      <w:szCs w:val="21"/>
                    </w:rPr>
                    <w:t>完成时间</w:t>
                  </w:r>
                </w:p>
              </w:tc>
              <w:tc>
                <w:tcPr>
                  <w:tcW w:w="985" w:type="dxa"/>
                  <w:vMerge w:val="restart"/>
                  <w:noWrap w:val="0"/>
                  <w:vAlign w:val="center"/>
                </w:tcPr>
                <w:p>
                  <w:pPr>
                    <w:ind w:left="-210" w:leftChars="-100" w:right="-210" w:rightChars="-100"/>
                    <w:jc w:val="center"/>
                    <w:rPr>
                      <w:rFonts w:hint="eastAsia" w:eastAsia="黑体"/>
                      <w:sz w:val="21"/>
                      <w:szCs w:val="21"/>
                    </w:rPr>
                  </w:pPr>
                  <w:r>
                    <w:rPr>
                      <w:rFonts w:hint="eastAsia" w:eastAsia="黑体"/>
                      <w:sz w:val="21"/>
                      <w:szCs w:val="21"/>
                    </w:rPr>
                    <w:t>责任人</w:t>
                  </w:r>
                </w:p>
              </w:tc>
              <w:tc>
                <w:tcPr>
                  <w:tcW w:w="3509" w:type="dxa"/>
                  <w:gridSpan w:val="5"/>
                  <w:noWrap w:val="0"/>
                  <w:vAlign w:val="center"/>
                </w:tcPr>
                <w:p>
                  <w:pPr>
                    <w:jc w:val="center"/>
                    <w:rPr>
                      <w:rFonts w:hint="eastAsia" w:eastAsia="黑体"/>
                      <w:sz w:val="21"/>
                      <w:szCs w:val="21"/>
                    </w:rPr>
                  </w:pPr>
                  <w:r>
                    <w:rPr>
                      <w:rFonts w:hint="eastAsia" w:eastAsia="黑体"/>
                      <w:sz w:val="21"/>
                      <w:szCs w:val="21"/>
                    </w:rPr>
                    <w:t>责　任　部　门</w:t>
                  </w:r>
                </w:p>
              </w:tc>
              <w:tc>
                <w:tcPr>
                  <w:tcW w:w="401" w:type="dxa"/>
                  <w:vMerge w:val="restart"/>
                  <w:noWrap w:val="0"/>
                  <w:vAlign w:val="center"/>
                </w:tcPr>
                <w:p>
                  <w:pPr>
                    <w:jc w:val="center"/>
                    <w:rPr>
                      <w:rFonts w:hint="eastAsia" w:eastAsia="黑体"/>
                      <w:sz w:val="21"/>
                      <w:szCs w:val="21"/>
                    </w:rPr>
                  </w:pPr>
                  <w:r>
                    <w:rPr>
                      <w:rFonts w:hint="eastAsia" w:eastAsia="黑体"/>
                      <w:sz w:val="21"/>
                      <w:szCs w:val="21"/>
                    </w:rPr>
                    <w:t>备</w:t>
                  </w:r>
                </w:p>
                <w:p>
                  <w:pPr>
                    <w:jc w:val="center"/>
                    <w:rPr>
                      <w:rFonts w:hint="eastAsia" w:eastAsia="黑体"/>
                      <w:sz w:val="21"/>
                      <w:szCs w:val="21"/>
                    </w:rPr>
                  </w:pPr>
                </w:p>
                <w:p>
                  <w:pPr>
                    <w:jc w:val="center"/>
                    <w:rPr>
                      <w:rFonts w:hint="eastAsia" w:eastAsia="黑体"/>
                      <w:sz w:val="21"/>
                      <w:szCs w:val="21"/>
                    </w:rPr>
                  </w:pPr>
                  <w:r>
                    <w:rPr>
                      <w:rFonts w:hint="eastAsia" w:eastAsia="黑体"/>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442" w:type="dxa"/>
                  <w:vMerge w:val="continue"/>
                  <w:noWrap w:val="0"/>
                  <w:vAlign w:val="top"/>
                </w:tcPr>
                <w:p>
                  <w:pPr>
                    <w:rPr>
                      <w:rFonts w:hint="eastAsia"/>
                      <w:sz w:val="21"/>
                      <w:szCs w:val="21"/>
                    </w:rPr>
                  </w:pPr>
                </w:p>
              </w:tc>
              <w:tc>
                <w:tcPr>
                  <w:tcW w:w="714" w:type="dxa"/>
                  <w:vMerge w:val="continue"/>
                  <w:noWrap w:val="0"/>
                  <w:vAlign w:val="top"/>
                </w:tcPr>
                <w:p>
                  <w:pPr>
                    <w:rPr>
                      <w:rFonts w:hint="eastAsia"/>
                      <w:sz w:val="21"/>
                      <w:szCs w:val="21"/>
                    </w:rPr>
                  </w:pPr>
                </w:p>
              </w:tc>
              <w:tc>
                <w:tcPr>
                  <w:tcW w:w="1319" w:type="dxa"/>
                  <w:vMerge w:val="continue"/>
                  <w:noWrap w:val="0"/>
                  <w:vAlign w:val="top"/>
                </w:tcPr>
                <w:p>
                  <w:pPr>
                    <w:rPr>
                      <w:rFonts w:hint="eastAsia"/>
                      <w:sz w:val="21"/>
                      <w:szCs w:val="21"/>
                    </w:rPr>
                  </w:pPr>
                </w:p>
              </w:tc>
              <w:tc>
                <w:tcPr>
                  <w:tcW w:w="3605" w:type="dxa"/>
                  <w:vMerge w:val="continue"/>
                  <w:noWrap w:val="0"/>
                  <w:vAlign w:val="top"/>
                </w:tcPr>
                <w:p>
                  <w:pPr>
                    <w:rPr>
                      <w:rFonts w:hint="eastAsia"/>
                      <w:sz w:val="21"/>
                      <w:szCs w:val="21"/>
                    </w:rPr>
                  </w:pPr>
                </w:p>
              </w:tc>
              <w:tc>
                <w:tcPr>
                  <w:tcW w:w="898" w:type="dxa"/>
                  <w:vMerge w:val="continue"/>
                  <w:noWrap w:val="0"/>
                  <w:vAlign w:val="top"/>
                </w:tcPr>
                <w:p>
                  <w:pPr>
                    <w:rPr>
                      <w:rFonts w:hint="eastAsia"/>
                      <w:sz w:val="21"/>
                      <w:szCs w:val="21"/>
                    </w:rPr>
                  </w:pPr>
                </w:p>
              </w:tc>
              <w:tc>
                <w:tcPr>
                  <w:tcW w:w="822" w:type="dxa"/>
                  <w:vMerge w:val="continue"/>
                  <w:noWrap w:val="0"/>
                  <w:vAlign w:val="top"/>
                </w:tcPr>
                <w:p>
                  <w:pPr>
                    <w:rPr>
                      <w:rFonts w:hint="eastAsia"/>
                      <w:sz w:val="21"/>
                      <w:szCs w:val="21"/>
                    </w:rPr>
                  </w:pPr>
                </w:p>
              </w:tc>
              <w:tc>
                <w:tcPr>
                  <w:tcW w:w="985" w:type="dxa"/>
                  <w:vMerge w:val="continue"/>
                  <w:noWrap w:val="0"/>
                  <w:vAlign w:val="top"/>
                </w:tcPr>
                <w:p>
                  <w:pPr>
                    <w:ind w:left="-210" w:leftChars="-100" w:right="-210" w:rightChars="-100"/>
                    <w:jc w:val="center"/>
                    <w:rPr>
                      <w:rFonts w:hint="eastAsia"/>
                      <w:sz w:val="21"/>
                      <w:szCs w:val="21"/>
                    </w:rPr>
                  </w:pPr>
                </w:p>
              </w:tc>
              <w:tc>
                <w:tcPr>
                  <w:tcW w:w="707" w:type="dxa"/>
                  <w:noWrap w:val="0"/>
                  <w:vAlign w:val="top"/>
                </w:tcPr>
                <w:p>
                  <w:pPr>
                    <w:jc w:val="center"/>
                    <w:rPr>
                      <w:rFonts w:hint="default" w:eastAsia="黑体"/>
                      <w:b/>
                      <w:bCs/>
                      <w:sz w:val="21"/>
                      <w:szCs w:val="21"/>
                      <w:lang w:val="en-US" w:eastAsia="zh-CN"/>
                    </w:rPr>
                  </w:pPr>
                  <w:r>
                    <w:rPr>
                      <w:rFonts w:hint="eastAsia" w:eastAsia="黑体"/>
                      <w:b/>
                      <w:bCs/>
                      <w:sz w:val="21"/>
                      <w:szCs w:val="21"/>
                      <w:lang w:val="en-US" w:eastAsia="zh-CN"/>
                    </w:rPr>
                    <w:t>综合办</w:t>
                  </w:r>
                </w:p>
              </w:tc>
              <w:tc>
                <w:tcPr>
                  <w:tcW w:w="726" w:type="dxa"/>
                  <w:noWrap w:val="0"/>
                  <w:vAlign w:val="top"/>
                </w:tcPr>
                <w:p>
                  <w:pPr>
                    <w:jc w:val="center"/>
                    <w:rPr>
                      <w:rFonts w:hint="eastAsia" w:eastAsia="黑体"/>
                      <w:b/>
                      <w:bCs/>
                      <w:sz w:val="21"/>
                      <w:szCs w:val="21"/>
                    </w:rPr>
                  </w:pPr>
                  <w:r>
                    <w:rPr>
                      <w:rFonts w:hint="eastAsia" w:eastAsia="黑体"/>
                      <w:b/>
                      <w:bCs/>
                      <w:sz w:val="21"/>
                      <w:szCs w:val="21"/>
                    </w:rPr>
                    <w:t>生产</w:t>
                  </w:r>
                </w:p>
                <w:p>
                  <w:pPr>
                    <w:jc w:val="center"/>
                    <w:rPr>
                      <w:rFonts w:hint="eastAsia" w:eastAsia="黑体"/>
                      <w:b/>
                      <w:bCs/>
                      <w:sz w:val="21"/>
                      <w:szCs w:val="21"/>
                    </w:rPr>
                  </w:pPr>
                  <w:r>
                    <w:rPr>
                      <w:rFonts w:hint="eastAsia" w:eastAsia="黑体"/>
                      <w:b/>
                      <w:bCs/>
                      <w:sz w:val="21"/>
                      <w:szCs w:val="21"/>
                    </w:rPr>
                    <w:t>部</w:t>
                  </w:r>
                </w:p>
              </w:tc>
              <w:tc>
                <w:tcPr>
                  <w:tcW w:w="745" w:type="dxa"/>
                  <w:noWrap w:val="0"/>
                  <w:vAlign w:val="top"/>
                </w:tcPr>
                <w:p>
                  <w:pPr>
                    <w:jc w:val="center"/>
                    <w:rPr>
                      <w:rFonts w:hint="eastAsia" w:eastAsia="黑体"/>
                      <w:b/>
                      <w:bCs/>
                      <w:sz w:val="21"/>
                      <w:szCs w:val="21"/>
                    </w:rPr>
                  </w:pPr>
                  <w:r>
                    <w:rPr>
                      <w:rFonts w:hint="eastAsia" w:eastAsia="黑体"/>
                      <w:b/>
                      <w:bCs/>
                      <w:sz w:val="21"/>
                      <w:szCs w:val="21"/>
                    </w:rPr>
                    <w:t>采购部销售</w:t>
                  </w:r>
                </w:p>
              </w:tc>
              <w:tc>
                <w:tcPr>
                  <w:tcW w:w="669" w:type="dxa"/>
                  <w:noWrap w:val="0"/>
                  <w:vAlign w:val="top"/>
                </w:tcPr>
                <w:p>
                  <w:pPr>
                    <w:jc w:val="center"/>
                    <w:rPr>
                      <w:rFonts w:hint="eastAsia" w:eastAsia="黑体"/>
                      <w:b/>
                      <w:bCs/>
                      <w:sz w:val="21"/>
                      <w:szCs w:val="21"/>
                    </w:rPr>
                  </w:pPr>
                  <w:r>
                    <w:rPr>
                      <w:rFonts w:hint="eastAsia" w:eastAsia="黑体"/>
                      <w:b/>
                      <w:bCs/>
                      <w:sz w:val="21"/>
                      <w:szCs w:val="21"/>
                    </w:rPr>
                    <w:t>质检</w:t>
                  </w:r>
                </w:p>
              </w:tc>
              <w:tc>
                <w:tcPr>
                  <w:tcW w:w="662" w:type="dxa"/>
                  <w:noWrap w:val="0"/>
                  <w:vAlign w:val="top"/>
                </w:tcPr>
                <w:p>
                  <w:pPr>
                    <w:jc w:val="center"/>
                    <w:rPr>
                      <w:rFonts w:hint="eastAsia" w:eastAsia="黑体"/>
                      <w:b/>
                      <w:bCs/>
                      <w:sz w:val="21"/>
                      <w:szCs w:val="21"/>
                    </w:rPr>
                  </w:pPr>
                  <w:r>
                    <w:rPr>
                      <w:rFonts w:hint="eastAsia" w:eastAsia="黑体"/>
                      <w:b/>
                      <w:bCs/>
                      <w:sz w:val="21"/>
                      <w:szCs w:val="21"/>
                    </w:rPr>
                    <w:t>财务部</w:t>
                  </w: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442" w:type="dxa"/>
                  <w:vMerge w:val="restart"/>
                  <w:noWrap w:val="0"/>
                  <w:vAlign w:val="center"/>
                </w:tcPr>
                <w:p>
                  <w:pPr>
                    <w:jc w:val="center"/>
                    <w:rPr>
                      <w:rFonts w:hint="eastAsia" w:eastAsia="黑体"/>
                      <w:b/>
                      <w:bCs/>
                      <w:sz w:val="21"/>
                      <w:szCs w:val="21"/>
                    </w:rPr>
                  </w:pPr>
                  <w:r>
                    <w:rPr>
                      <w:rFonts w:hint="eastAsia" w:eastAsia="黑体"/>
                      <w:b/>
                      <w:bCs/>
                      <w:sz w:val="21"/>
                      <w:szCs w:val="21"/>
                    </w:rPr>
                    <w:t>1</w:t>
                  </w:r>
                </w:p>
              </w:tc>
              <w:tc>
                <w:tcPr>
                  <w:tcW w:w="714" w:type="dxa"/>
                  <w:vMerge w:val="restart"/>
                  <w:noWrap w:val="0"/>
                  <w:vAlign w:val="center"/>
                </w:tcPr>
                <w:p>
                  <w:pPr>
                    <w:jc w:val="center"/>
                    <w:rPr>
                      <w:rFonts w:hint="eastAsia" w:eastAsia="黑体"/>
                      <w:sz w:val="21"/>
                      <w:szCs w:val="21"/>
                    </w:rPr>
                  </w:pPr>
                  <w:r>
                    <w:rPr>
                      <w:rFonts w:hint="eastAsia" w:eastAsia="黑体"/>
                      <w:sz w:val="21"/>
                      <w:szCs w:val="21"/>
                    </w:rPr>
                    <w:t>加强固体</w:t>
                  </w:r>
                </w:p>
                <w:p>
                  <w:pPr>
                    <w:jc w:val="center"/>
                    <w:rPr>
                      <w:rFonts w:hint="eastAsia" w:eastAsia="黑体"/>
                      <w:sz w:val="21"/>
                      <w:szCs w:val="21"/>
                    </w:rPr>
                  </w:pPr>
                  <w:r>
                    <w:rPr>
                      <w:rFonts w:hint="eastAsia" w:eastAsia="黑体"/>
                      <w:sz w:val="21"/>
                      <w:szCs w:val="21"/>
                    </w:rPr>
                    <w:t>废物管理</w:t>
                  </w:r>
                </w:p>
              </w:tc>
              <w:tc>
                <w:tcPr>
                  <w:tcW w:w="1319" w:type="dxa"/>
                  <w:vMerge w:val="restart"/>
                  <w:noWrap w:val="0"/>
                  <w:vAlign w:val="center"/>
                </w:tcPr>
                <w:p>
                  <w:pPr>
                    <w:spacing w:line="0" w:lineRule="atLeast"/>
                    <w:rPr>
                      <w:rFonts w:hint="eastAsia"/>
                      <w:sz w:val="21"/>
                      <w:szCs w:val="21"/>
                    </w:rPr>
                  </w:pPr>
                  <w:r>
                    <w:rPr>
                      <w:rFonts w:hint="eastAsia"/>
                      <w:sz w:val="21"/>
                      <w:szCs w:val="21"/>
                    </w:rPr>
                    <w:t>固废分置率达到95％以上，对于可回收固废回收利用率达到90%以上。</w:t>
                  </w:r>
                </w:p>
              </w:tc>
              <w:tc>
                <w:tcPr>
                  <w:tcW w:w="3605" w:type="dxa"/>
                  <w:noWrap w:val="0"/>
                  <w:vAlign w:val="center"/>
                </w:tcPr>
                <w:p>
                  <w:pPr>
                    <w:rPr>
                      <w:rFonts w:hint="eastAsia"/>
                      <w:sz w:val="21"/>
                      <w:szCs w:val="21"/>
                    </w:rPr>
                  </w:pPr>
                  <w:r>
                    <w:rPr>
                      <w:rFonts w:hint="eastAsia"/>
                      <w:sz w:val="21"/>
                      <w:szCs w:val="21"/>
                    </w:rPr>
                    <w:t>（1）对本部门的固体废弃物进行登记，按照有关法律法规要求和相关制度要求进行处理。设专人管理，定期检查处置。</w:t>
                  </w:r>
                </w:p>
              </w:tc>
              <w:tc>
                <w:tcPr>
                  <w:tcW w:w="898" w:type="dxa"/>
                  <w:noWrap w:val="0"/>
                  <w:vAlign w:val="center"/>
                </w:tcPr>
                <w:p>
                  <w:pPr>
                    <w:jc w:val="center"/>
                    <w:rPr>
                      <w:rFonts w:hint="eastAsia"/>
                      <w:b/>
                      <w:bCs/>
                      <w:sz w:val="21"/>
                      <w:szCs w:val="21"/>
                    </w:rPr>
                  </w:pPr>
                  <w:r>
                    <w:rPr>
                      <w:rFonts w:hint="eastAsia"/>
                      <w:b/>
                      <w:bCs/>
                      <w:sz w:val="21"/>
                      <w:szCs w:val="21"/>
                    </w:rPr>
                    <w:t>2</w:t>
                  </w: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center"/>
                </w:tcPr>
                <w:p>
                  <w:pPr>
                    <w:ind w:left="-210" w:leftChars="-100" w:right="-210" w:rightChars="-100"/>
                    <w:jc w:val="cente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sz w:val="21"/>
                      <w:szCs w:val="21"/>
                    </w:rPr>
                  </w:pPr>
                  <w:r>
                    <w:rPr>
                      <w:rFonts w:hint="eastAsia"/>
                      <w:sz w:val="21"/>
                      <w:szCs w:val="21"/>
                    </w:rPr>
                    <w:t>▲</w:t>
                  </w:r>
                </w:p>
              </w:tc>
              <w:tc>
                <w:tcPr>
                  <w:tcW w:w="726" w:type="dxa"/>
                  <w:noWrap w:val="0"/>
                  <w:vAlign w:val="center"/>
                </w:tcPr>
                <w:p>
                  <w:pPr>
                    <w:jc w:val="center"/>
                    <w:rPr>
                      <w:rFonts w:hint="eastAsia"/>
                      <w:sz w:val="21"/>
                      <w:szCs w:val="21"/>
                    </w:rPr>
                  </w:pPr>
                  <w:r>
                    <w:rPr>
                      <w:rFonts w:hint="eastAsia"/>
                      <w:sz w:val="21"/>
                      <w:szCs w:val="21"/>
                    </w:rPr>
                    <w:t>▲</w:t>
                  </w:r>
                </w:p>
              </w:tc>
              <w:tc>
                <w:tcPr>
                  <w:tcW w:w="745" w:type="dxa"/>
                  <w:noWrap w:val="0"/>
                  <w:vAlign w:val="center"/>
                </w:tcPr>
                <w:p>
                  <w:pPr>
                    <w:jc w:val="center"/>
                    <w:rPr>
                      <w:rFonts w:hint="eastAsia"/>
                      <w:sz w:val="21"/>
                      <w:szCs w:val="21"/>
                    </w:rPr>
                  </w:pPr>
                  <w:r>
                    <w:rPr>
                      <w:rFonts w:hint="eastAsia"/>
                      <w:sz w:val="21"/>
                      <w:szCs w:val="21"/>
                    </w:rPr>
                    <w:t>▲</w:t>
                  </w:r>
                </w:p>
              </w:tc>
              <w:tc>
                <w:tcPr>
                  <w:tcW w:w="669" w:type="dxa"/>
                  <w:noWrap w:val="0"/>
                  <w:vAlign w:val="center"/>
                </w:tcPr>
                <w:p>
                  <w:pPr>
                    <w:jc w:val="center"/>
                    <w:rPr>
                      <w:rFonts w:hint="eastAsia"/>
                      <w:sz w:val="21"/>
                      <w:szCs w:val="21"/>
                    </w:rPr>
                  </w:pPr>
                  <w:r>
                    <w:rPr>
                      <w:rFonts w:hint="eastAsia"/>
                      <w:sz w:val="21"/>
                      <w:szCs w:val="21"/>
                    </w:rPr>
                    <w:t>▲</w:t>
                  </w:r>
                </w:p>
              </w:tc>
              <w:tc>
                <w:tcPr>
                  <w:tcW w:w="662" w:type="dxa"/>
                  <w:noWrap w:val="0"/>
                  <w:vAlign w:val="center"/>
                </w:tcPr>
                <w:p>
                  <w:pPr>
                    <w:jc w:val="center"/>
                    <w:rPr>
                      <w:rFonts w:hint="eastAsia"/>
                      <w:sz w:val="21"/>
                      <w:szCs w:val="21"/>
                    </w:rPr>
                  </w:pPr>
                  <w:r>
                    <w:rPr>
                      <w:rFonts w:hint="eastAsia"/>
                      <w:sz w:val="21"/>
                      <w:szCs w:val="21"/>
                    </w:rPr>
                    <w:t>▲</w:t>
                  </w: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442" w:type="dxa"/>
                  <w:vMerge w:val="continue"/>
                  <w:tcBorders>
                    <w:bottom w:val="single" w:color="auto" w:sz="4" w:space="0"/>
                  </w:tcBorders>
                  <w:noWrap w:val="0"/>
                  <w:vAlign w:val="center"/>
                </w:tcPr>
                <w:p>
                  <w:pPr>
                    <w:jc w:val="center"/>
                    <w:rPr>
                      <w:rFonts w:hint="eastAsia" w:eastAsia="黑体"/>
                      <w:b/>
                      <w:bCs/>
                      <w:sz w:val="21"/>
                      <w:szCs w:val="21"/>
                    </w:rPr>
                  </w:pPr>
                </w:p>
              </w:tc>
              <w:tc>
                <w:tcPr>
                  <w:tcW w:w="714" w:type="dxa"/>
                  <w:vMerge w:val="continue"/>
                  <w:tcBorders>
                    <w:bottom w:val="single" w:color="auto" w:sz="4" w:space="0"/>
                  </w:tcBorders>
                  <w:noWrap w:val="0"/>
                  <w:vAlign w:val="center"/>
                </w:tcPr>
                <w:p>
                  <w:pPr>
                    <w:jc w:val="center"/>
                    <w:rPr>
                      <w:rFonts w:hint="eastAsia" w:eastAsia="黑体"/>
                      <w:sz w:val="21"/>
                      <w:szCs w:val="21"/>
                    </w:rPr>
                  </w:pPr>
                </w:p>
              </w:tc>
              <w:tc>
                <w:tcPr>
                  <w:tcW w:w="1319" w:type="dxa"/>
                  <w:vMerge w:val="continue"/>
                  <w:tcBorders>
                    <w:bottom w:val="single" w:color="auto" w:sz="4" w:space="0"/>
                  </w:tcBorders>
                  <w:noWrap w:val="0"/>
                  <w:vAlign w:val="center"/>
                </w:tcPr>
                <w:p>
                  <w:pPr>
                    <w:jc w:val="center"/>
                    <w:rPr>
                      <w:rFonts w:hint="eastAsia"/>
                      <w:sz w:val="21"/>
                      <w:szCs w:val="21"/>
                    </w:rPr>
                  </w:pPr>
                </w:p>
              </w:tc>
              <w:tc>
                <w:tcPr>
                  <w:tcW w:w="3605" w:type="dxa"/>
                  <w:tcBorders>
                    <w:bottom w:val="single" w:color="auto" w:sz="4" w:space="0"/>
                  </w:tcBorders>
                  <w:noWrap w:val="0"/>
                  <w:vAlign w:val="center"/>
                </w:tcPr>
                <w:p>
                  <w:pPr>
                    <w:rPr>
                      <w:rFonts w:hint="eastAsia"/>
                      <w:sz w:val="21"/>
                      <w:szCs w:val="21"/>
                    </w:rPr>
                  </w:pPr>
                  <w:r>
                    <w:rPr>
                      <w:rFonts w:hint="eastAsia"/>
                      <w:sz w:val="21"/>
                      <w:szCs w:val="21"/>
                    </w:rPr>
                    <w:t>（2）根据厂区现场管理的需要，新增固废垃圾箱1－2个。固废存放点1处，明确标识。将可回收和不可回收利用分类放置，指定专人管理。</w:t>
                  </w:r>
                </w:p>
              </w:tc>
              <w:tc>
                <w:tcPr>
                  <w:tcW w:w="898" w:type="dxa"/>
                  <w:tcBorders>
                    <w:bottom w:val="single" w:color="auto" w:sz="4" w:space="0"/>
                  </w:tcBorders>
                  <w:noWrap w:val="0"/>
                  <w:vAlign w:val="center"/>
                </w:tcPr>
                <w:p>
                  <w:pPr>
                    <w:jc w:val="center"/>
                    <w:rPr>
                      <w:rFonts w:hint="eastAsia"/>
                      <w:b/>
                      <w:bCs/>
                      <w:sz w:val="21"/>
                      <w:szCs w:val="21"/>
                    </w:rPr>
                  </w:pPr>
                  <w:r>
                    <w:rPr>
                      <w:rFonts w:hint="eastAsia"/>
                      <w:b/>
                      <w:bCs/>
                      <w:sz w:val="21"/>
                      <w:szCs w:val="21"/>
                    </w:rPr>
                    <w:t>1</w:t>
                  </w:r>
                </w:p>
              </w:tc>
              <w:tc>
                <w:tcPr>
                  <w:tcW w:w="822" w:type="dxa"/>
                  <w:tcBorders>
                    <w:bottom w:val="single" w:color="auto" w:sz="4" w:space="0"/>
                  </w:tcBorders>
                  <w:noWrap w:val="0"/>
                  <w:vAlign w:val="center"/>
                </w:tcPr>
                <w:p>
                  <w:pPr>
                    <w:jc w:val="center"/>
                    <w:rPr>
                      <w:rFonts w:hint="eastAsia"/>
                      <w:sz w:val="21"/>
                      <w:szCs w:val="21"/>
                    </w:rPr>
                  </w:pPr>
                  <w:r>
                    <w:rPr>
                      <w:rFonts w:hint="eastAsia"/>
                      <w:sz w:val="21"/>
                      <w:szCs w:val="21"/>
                    </w:rPr>
                    <w:t>10月底以前</w:t>
                  </w:r>
                </w:p>
              </w:tc>
              <w:tc>
                <w:tcPr>
                  <w:tcW w:w="985" w:type="dxa"/>
                  <w:tcBorders>
                    <w:bottom w:val="single" w:color="auto" w:sz="4" w:space="0"/>
                  </w:tcBorders>
                  <w:noWrap w:val="0"/>
                  <w:vAlign w:val="center"/>
                </w:tcPr>
                <w:p>
                  <w:pPr>
                    <w:ind w:left="-210" w:leftChars="-100" w:right="-210" w:rightChars="-100"/>
                    <w:jc w:val="center"/>
                    <w:rPr>
                      <w:rFonts w:hint="eastAsia" w:eastAsia="宋体"/>
                      <w:sz w:val="21"/>
                      <w:szCs w:val="21"/>
                      <w:lang w:eastAsia="zh-CN"/>
                    </w:rPr>
                  </w:pPr>
                  <w:r>
                    <w:rPr>
                      <w:rFonts w:hint="eastAsia"/>
                      <w:sz w:val="21"/>
                      <w:szCs w:val="21"/>
                      <w:lang w:eastAsia="zh-CN"/>
                    </w:rPr>
                    <w:t>赵帅锋</w:t>
                  </w:r>
                </w:p>
              </w:tc>
              <w:tc>
                <w:tcPr>
                  <w:tcW w:w="707" w:type="dxa"/>
                  <w:tcBorders>
                    <w:bottom w:val="single" w:color="auto" w:sz="4" w:space="0"/>
                  </w:tcBorders>
                  <w:noWrap w:val="0"/>
                  <w:vAlign w:val="center"/>
                </w:tcPr>
                <w:p>
                  <w:pPr>
                    <w:jc w:val="center"/>
                    <w:rPr>
                      <w:rFonts w:hint="eastAsia"/>
                      <w:sz w:val="21"/>
                      <w:szCs w:val="21"/>
                    </w:rPr>
                  </w:pPr>
                  <w:r>
                    <w:rPr>
                      <w:rFonts w:hint="eastAsia"/>
                      <w:sz w:val="21"/>
                      <w:szCs w:val="21"/>
                    </w:rPr>
                    <w:t>▲</w:t>
                  </w:r>
                </w:p>
              </w:tc>
              <w:tc>
                <w:tcPr>
                  <w:tcW w:w="726" w:type="dxa"/>
                  <w:tcBorders>
                    <w:bottom w:val="single" w:color="auto" w:sz="4" w:space="0"/>
                  </w:tcBorders>
                  <w:noWrap w:val="0"/>
                  <w:vAlign w:val="center"/>
                </w:tcPr>
                <w:p>
                  <w:pPr>
                    <w:jc w:val="center"/>
                    <w:rPr>
                      <w:rFonts w:hint="eastAsia"/>
                      <w:sz w:val="21"/>
                      <w:szCs w:val="21"/>
                    </w:rPr>
                  </w:pPr>
                  <w:r>
                    <w:rPr>
                      <w:rFonts w:hint="eastAsia"/>
                      <w:sz w:val="21"/>
                      <w:szCs w:val="21"/>
                    </w:rPr>
                    <w:t>▲</w:t>
                  </w:r>
                </w:p>
              </w:tc>
              <w:tc>
                <w:tcPr>
                  <w:tcW w:w="745" w:type="dxa"/>
                  <w:tcBorders>
                    <w:bottom w:val="single" w:color="auto" w:sz="4" w:space="0"/>
                  </w:tcBorders>
                  <w:noWrap w:val="0"/>
                  <w:vAlign w:val="center"/>
                </w:tcPr>
                <w:p>
                  <w:pPr>
                    <w:jc w:val="center"/>
                    <w:rPr>
                      <w:rFonts w:hint="eastAsia"/>
                      <w:sz w:val="21"/>
                      <w:szCs w:val="21"/>
                    </w:rPr>
                  </w:pPr>
                  <w:r>
                    <w:rPr>
                      <w:rFonts w:hint="eastAsia"/>
                      <w:sz w:val="21"/>
                      <w:szCs w:val="21"/>
                    </w:rPr>
                    <w:t>△</w:t>
                  </w:r>
                </w:p>
              </w:tc>
              <w:tc>
                <w:tcPr>
                  <w:tcW w:w="669" w:type="dxa"/>
                  <w:tcBorders>
                    <w:bottom w:val="single" w:color="auto" w:sz="4" w:space="0"/>
                  </w:tcBorders>
                  <w:noWrap w:val="0"/>
                  <w:vAlign w:val="center"/>
                </w:tcPr>
                <w:p>
                  <w:pPr>
                    <w:rPr>
                      <w:sz w:val="21"/>
                      <w:szCs w:val="21"/>
                    </w:rPr>
                  </w:pPr>
                  <w:r>
                    <w:rPr>
                      <w:rFonts w:hint="eastAsia"/>
                      <w:sz w:val="21"/>
                      <w:szCs w:val="21"/>
                    </w:rPr>
                    <w:t>△</w:t>
                  </w:r>
                </w:p>
              </w:tc>
              <w:tc>
                <w:tcPr>
                  <w:tcW w:w="662" w:type="dxa"/>
                  <w:tcBorders>
                    <w:bottom w:val="single" w:color="auto" w:sz="4" w:space="0"/>
                  </w:tcBorders>
                  <w:noWrap w:val="0"/>
                  <w:vAlign w:val="center"/>
                </w:tcPr>
                <w:p>
                  <w:pPr>
                    <w:rPr>
                      <w:sz w:val="21"/>
                      <w:szCs w:val="21"/>
                    </w:rPr>
                  </w:pPr>
                  <w:r>
                    <w:rPr>
                      <w:rFonts w:hint="eastAsia"/>
                      <w:sz w:val="21"/>
                      <w:szCs w:val="21"/>
                    </w:rPr>
                    <w:t>△</w:t>
                  </w:r>
                </w:p>
              </w:tc>
              <w:tc>
                <w:tcPr>
                  <w:tcW w:w="401" w:type="dxa"/>
                  <w:vMerge w:val="continue"/>
                  <w:tcBorders>
                    <w:bottom w:val="single" w:color="auto" w:sz="4" w:space="0"/>
                  </w:tcBorders>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42" w:type="dxa"/>
                  <w:vMerge w:val="restart"/>
                  <w:noWrap w:val="0"/>
                  <w:vAlign w:val="center"/>
                </w:tcPr>
                <w:p>
                  <w:pPr>
                    <w:jc w:val="center"/>
                    <w:rPr>
                      <w:rFonts w:hint="eastAsia" w:eastAsia="黑体"/>
                      <w:sz w:val="21"/>
                      <w:szCs w:val="21"/>
                    </w:rPr>
                  </w:pPr>
                  <w:r>
                    <w:rPr>
                      <w:rFonts w:hint="eastAsia" w:eastAsia="黑体"/>
                      <w:b/>
                      <w:bCs/>
                      <w:sz w:val="21"/>
                      <w:szCs w:val="21"/>
                    </w:rPr>
                    <w:t>2</w:t>
                  </w:r>
                </w:p>
              </w:tc>
              <w:tc>
                <w:tcPr>
                  <w:tcW w:w="714" w:type="dxa"/>
                  <w:vMerge w:val="restart"/>
                  <w:noWrap w:val="0"/>
                  <w:vAlign w:val="center"/>
                </w:tcPr>
                <w:p>
                  <w:pPr>
                    <w:rPr>
                      <w:rFonts w:hint="eastAsia" w:eastAsia="黑体"/>
                      <w:sz w:val="21"/>
                      <w:szCs w:val="21"/>
                    </w:rPr>
                  </w:pPr>
                  <w:r>
                    <w:rPr>
                      <w:rFonts w:hint="eastAsia" w:ascii="宋体" w:hAnsi="宋体"/>
                      <w:sz w:val="21"/>
                      <w:szCs w:val="21"/>
                    </w:rPr>
                    <w:t>加强化学品管理，防止潜在泄露事故</w:t>
                  </w:r>
                </w:p>
              </w:tc>
              <w:tc>
                <w:tcPr>
                  <w:tcW w:w="1319" w:type="dxa"/>
                  <w:vMerge w:val="restart"/>
                  <w:noWrap w:val="0"/>
                  <w:vAlign w:val="center"/>
                </w:tcPr>
                <w:p>
                  <w:pPr>
                    <w:rPr>
                      <w:rFonts w:hint="eastAsia"/>
                      <w:sz w:val="21"/>
                      <w:szCs w:val="21"/>
                    </w:rPr>
                  </w:pPr>
                  <w:r>
                    <w:rPr>
                      <w:rFonts w:hint="eastAsia" w:ascii="宋体" w:hAnsi="宋体"/>
                      <w:sz w:val="21"/>
                      <w:szCs w:val="21"/>
                    </w:rPr>
                    <w:t>化学品泄露事故发生率为0</w:t>
                  </w:r>
                </w:p>
              </w:tc>
              <w:tc>
                <w:tcPr>
                  <w:tcW w:w="3605" w:type="dxa"/>
                  <w:noWrap w:val="0"/>
                  <w:vAlign w:val="center"/>
                </w:tcPr>
                <w:p>
                  <w:pPr>
                    <w:rPr>
                      <w:rFonts w:hint="eastAsia"/>
                      <w:sz w:val="21"/>
                      <w:szCs w:val="21"/>
                    </w:rPr>
                  </w:pPr>
                  <w:r>
                    <w:rPr>
                      <w:rFonts w:hint="eastAsia"/>
                      <w:sz w:val="21"/>
                      <w:szCs w:val="21"/>
                    </w:rPr>
                    <w:t>（1）加强运行、使用过程的管理，严格按管理规程行事，落实岗位质量责任制，严格考核管理。</w:t>
                  </w:r>
                </w:p>
              </w:tc>
              <w:tc>
                <w:tcPr>
                  <w:tcW w:w="898" w:type="dxa"/>
                  <w:noWrap w:val="0"/>
                  <w:vAlign w:val="center"/>
                </w:tcPr>
                <w:p>
                  <w:pPr>
                    <w:jc w:val="center"/>
                    <w:rPr>
                      <w:rFonts w:hint="eastAsia"/>
                      <w:sz w:val="21"/>
                      <w:szCs w:val="21"/>
                    </w:rPr>
                  </w:pP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center"/>
                </w:tcPr>
                <w:p>
                  <w:pPr>
                    <w:jc w:val="cente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r>
                    <w:rPr>
                      <w:rFonts w:hint="eastAsia"/>
                      <w:sz w:val="21"/>
                      <w:szCs w:val="21"/>
                    </w:rPr>
                    <w:t>▲</w:t>
                  </w:r>
                </w:p>
              </w:tc>
              <w:tc>
                <w:tcPr>
                  <w:tcW w:w="669" w:type="dxa"/>
                  <w:noWrap w:val="0"/>
                  <w:vAlign w:val="center"/>
                </w:tcPr>
                <w:p>
                  <w:pPr>
                    <w:jc w:val="center"/>
                    <w:rPr>
                      <w:rFonts w:hint="eastAsia" w:eastAsia="黑体"/>
                      <w:b/>
                      <w:bCs/>
                      <w:sz w:val="21"/>
                      <w:szCs w:val="21"/>
                    </w:rPr>
                  </w:pPr>
                  <w:r>
                    <w:rPr>
                      <w:rFonts w:hint="eastAsia"/>
                      <w:sz w:val="21"/>
                      <w:szCs w:val="21"/>
                    </w:rPr>
                    <w:t>▲</w:t>
                  </w:r>
                </w:p>
              </w:tc>
              <w:tc>
                <w:tcPr>
                  <w:tcW w:w="662" w:type="dxa"/>
                  <w:noWrap w:val="0"/>
                  <w:vAlign w:val="center"/>
                </w:tcPr>
                <w:p>
                  <w:pPr>
                    <w:jc w:val="center"/>
                    <w:rPr>
                      <w:rFonts w:hint="eastAsia" w:eastAsia="黑体"/>
                      <w:b/>
                      <w:bCs/>
                      <w:sz w:val="21"/>
                      <w:szCs w:val="21"/>
                    </w:rPr>
                  </w:pPr>
                  <w:r>
                    <w:rPr>
                      <w:rFonts w:hint="eastAsia"/>
                      <w:sz w:val="21"/>
                      <w:szCs w:val="21"/>
                    </w:rPr>
                    <w:t>▲</w:t>
                  </w:r>
                </w:p>
              </w:tc>
              <w:tc>
                <w:tcPr>
                  <w:tcW w:w="401" w:type="dxa"/>
                  <w:vMerge w:val="restart"/>
                  <w:noWrap w:val="0"/>
                  <w:vAlign w:val="center"/>
                </w:tcPr>
                <w:p>
                  <w:pPr>
                    <w:jc w:val="center"/>
                    <w:rPr>
                      <w:rFonts w:hint="eastAsia"/>
                      <w:sz w:val="21"/>
                      <w:szCs w:val="21"/>
                    </w:rPr>
                  </w:pPr>
                  <w:r>
                    <w:rPr>
                      <w:rFonts w:hint="eastAsia"/>
                      <w:sz w:val="21"/>
                      <w:szCs w:val="21"/>
                    </w:rPr>
                    <w:t>▲</w:t>
                  </w:r>
                </w:p>
                <w:p>
                  <w:pPr>
                    <w:pStyle w:val="4"/>
                    <w:rPr>
                      <w:rFonts w:hint="eastAsia"/>
                      <w:sz w:val="21"/>
                      <w:szCs w:val="21"/>
                    </w:rPr>
                  </w:pPr>
                  <w:r>
                    <w:rPr>
                      <w:rFonts w:hint="eastAsia"/>
                      <w:sz w:val="21"/>
                      <w:szCs w:val="21"/>
                    </w:rPr>
                    <w:t>主要责任部门</w:t>
                  </w:r>
                </w:p>
                <w:p>
                  <w:pPr>
                    <w:pStyle w:val="4"/>
                    <w:rPr>
                      <w:rFonts w:hint="eastAsia"/>
                      <w:sz w:val="21"/>
                      <w:szCs w:val="21"/>
                    </w:rPr>
                  </w:pPr>
                </w:p>
                <w:p>
                  <w:pPr>
                    <w:jc w:val="center"/>
                    <w:rPr>
                      <w:rFonts w:hint="eastAsia"/>
                      <w:sz w:val="21"/>
                      <w:szCs w:val="21"/>
                    </w:rPr>
                  </w:pPr>
                  <w:r>
                    <w:rPr>
                      <w:rFonts w:hint="eastAsia"/>
                      <w:sz w:val="21"/>
                      <w:szCs w:val="21"/>
                    </w:rPr>
                    <w:t>☆</w:t>
                  </w:r>
                </w:p>
                <w:p>
                  <w:pPr>
                    <w:jc w:val="center"/>
                    <w:rPr>
                      <w:rFonts w:hint="eastAsia"/>
                      <w:sz w:val="21"/>
                      <w:szCs w:val="21"/>
                    </w:rPr>
                  </w:pPr>
                  <w:r>
                    <w:rPr>
                      <w:rFonts w:hint="eastAsia"/>
                      <w:sz w:val="21"/>
                      <w:szCs w:val="21"/>
                    </w:rPr>
                    <w:t>主要监管部门</w:t>
                  </w:r>
                </w:p>
                <w:p>
                  <w:pPr>
                    <w:jc w:val="center"/>
                    <w:rPr>
                      <w:rFonts w:hint="eastAsia"/>
                      <w:sz w:val="21"/>
                      <w:szCs w:val="21"/>
                    </w:rPr>
                  </w:pPr>
                </w:p>
                <w:p>
                  <w:pPr>
                    <w:jc w:val="center"/>
                    <w:rPr>
                      <w:rFonts w:hint="eastAsia"/>
                      <w:sz w:val="21"/>
                      <w:szCs w:val="21"/>
                    </w:rPr>
                  </w:pPr>
                  <w:r>
                    <w:rPr>
                      <w:rFonts w:hint="eastAsia"/>
                      <w:sz w:val="21"/>
                      <w:szCs w:val="21"/>
                    </w:rPr>
                    <w:t>△</w:t>
                  </w:r>
                </w:p>
                <w:p>
                  <w:pPr>
                    <w:jc w:val="center"/>
                    <w:rPr>
                      <w:rFonts w:hint="eastAsia"/>
                      <w:sz w:val="21"/>
                      <w:szCs w:val="21"/>
                    </w:rPr>
                  </w:pPr>
                  <w:r>
                    <w:rPr>
                      <w:rFonts w:hint="eastAsia"/>
                      <w:sz w:val="21"/>
                      <w:szCs w:val="21"/>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（2）加强员工的安全教育，确保特殊工种严格持证上岗</w:t>
                  </w:r>
                </w:p>
              </w:tc>
              <w:tc>
                <w:tcPr>
                  <w:tcW w:w="898" w:type="dxa"/>
                  <w:noWrap w:val="0"/>
                  <w:vAlign w:val="center"/>
                </w:tcPr>
                <w:p>
                  <w:pPr>
                    <w:jc w:val="center"/>
                    <w:rPr>
                      <w:rFonts w:hint="eastAsia"/>
                      <w:sz w:val="21"/>
                      <w:szCs w:val="21"/>
                    </w:rPr>
                  </w:pPr>
                  <w:r>
                    <w:rPr>
                      <w:rFonts w:hint="eastAsia"/>
                      <w:sz w:val="21"/>
                      <w:szCs w:val="21"/>
                    </w:rPr>
                    <w:t>1</w:t>
                  </w: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top"/>
                </w:tcPr>
                <w:p>
                  <w:pPr>
                    <w:jc w:val="cente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r>
                    <w:rPr>
                      <w:rFonts w:hint="eastAsia"/>
                      <w:sz w:val="21"/>
                      <w:szCs w:val="21"/>
                    </w:rPr>
                    <w:t>△</w:t>
                  </w:r>
                </w:p>
              </w:tc>
              <w:tc>
                <w:tcPr>
                  <w:tcW w:w="662" w:type="dxa"/>
                  <w:noWrap w:val="0"/>
                  <w:vAlign w:val="center"/>
                </w:tcPr>
                <w:p>
                  <w:pPr>
                    <w:jc w:val="center"/>
                    <w:rPr>
                      <w:rFonts w:hint="eastAsia" w:eastAsia="黑体"/>
                      <w:b/>
                      <w:bCs/>
                      <w:sz w:val="21"/>
                      <w:szCs w:val="21"/>
                    </w:rPr>
                  </w:pPr>
                  <w:r>
                    <w:rPr>
                      <w:rFonts w:hint="eastAsia"/>
                      <w:sz w:val="21"/>
                      <w:szCs w:val="21"/>
                    </w:rPr>
                    <w:t>△</w:t>
                  </w: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（3）解决设备运行过程中的油料跑冒滴漏等问题。</w:t>
                  </w:r>
                </w:p>
              </w:tc>
              <w:tc>
                <w:tcPr>
                  <w:tcW w:w="898" w:type="dxa"/>
                  <w:noWrap w:val="0"/>
                  <w:vAlign w:val="center"/>
                </w:tcPr>
                <w:p>
                  <w:pPr>
                    <w:jc w:val="center"/>
                    <w:rPr>
                      <w:rFonts w:hint="eastAsia"/>
                      <w:sz w:val="21"/>
                      <w:szCs w:val="21"/>
                    </w:rPr>
                  </w:pPr>
                  <w:r>
                    <w:rPr>
                      <w:rFonts w:hint="eastAsia"/>
                      <w:sz w:val="21"/>
                      <w:szCs w:val="21"/>
                    </w:rPr>
                    <w:t>1</w:t>
                  </w: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top"/>
                </w:tcPr>
                <w:p>
                  <w:pPr>
                    <w:jc w:val="cente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r>
                    <w:rPr>
                      <w:rFonts w:hint="eastAsia"/>
                      <w:sz w:val="21"/>
                      <w:szCs w:val="21"/>
                    </w:rPr>
                    <w:t>△</w:t>
                  </w:r>
                </w:p>
              </w:tc>
              <w:tc>
                <w:tcPr>
                  <w:tcW w:w="669" w:type="dxa"/>
                  <w:noWrap w:val="0"/>
                  <w:vAlign w:val="center"/>
                </w:tcPr>
                <w:p>
                  <w:pPr>
                    <w:jc w:val="center"/>
                    <w:rPr>
                      <w:rFonts w:hint="eastAsia" w:eastAsia="黑体"/>
                      <w:b/>
                      <w:bCs/>
                      <w:sz w:val="21"/>
                      <w:szCs w:val="21"/>
                    </w:rPr>
                  </w:pPr>
                  <w:r>
                    <w:rPr>
                      <w:rFonts w:hint="eastAsia"/>
                      <w:sz w:val="21"/>
                      <w:szCs w:val="21"/>
                    </w:rPr>
                    <w:t>△</w:t>
                  </w:r>
                </w:p>
              </w:tc>
              <w:tc>
                <w:tcPr>
                  <w:tcW w:w="662" w:type="dxa"/>
                  <w:noWrap w:val="0"/>
                  <w:vAlign w:val="center"/>
                </w:tcPr>
                <w:p>
                  <w:pPr>
                    <w:jc w:val="center"/>
                    <w:rPr>
                      <w:rFonts w:hint="eastAsia" w:eastAsia="黑体"/>
                      <w:b/>
                      <w:bCs/>
                      <w:sz w:val="21"/>
                      <w:szCs w:val="21"/>
                    </w:rPr>
                  </w:pPr>
                  <w:r>
                    <w:rPr>
                      <w:rFonts w:hint="eastAsia"/>
                      <w:sz w:val="21"/>
                      <w:szCs w:val="21"/>
                    </w:rPr>
                    <w:t>△</w:t>
                  </w: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42" w:type="dxa"/>
                  <w:vMerge w:val="restart"/>
                  <w:noWrap w:val="0"/>
                  <w:vAlign w:val="center"/>
                </w:tcPr>
                <w:p>
                  <w:pPr>
                    <w:jc w:val="center"/>
                    <w:rPr>
                      <w:rFonts w:hint="eastAsia" w:eastAsia="宋体"/>
                      <w:sz w:val="21"/>
                      <w:szCs w:val="21"/>
                      <w:lang w:eastAsia="zh-CN"/>
                    </w:rPr>
                  </w:pPr>
                  <w:r>
                    <w:rPr>
                      <w:rFonts w:hint="eastAsia"/>
                      <w:sz w:val="21"/>
                      <w:szCs w:val="21"/>
                    </w:rPr>
                    <w:t xml:space="preserve"> </w:t>
                  </w:r>
                  <w:r>
                    <w:rPr>
                      <w:rFonts w:hint="eastAsia" w:eastAsia="黑体"/>
                      <w:sz w:val="21"/>
                      <w:szCs w:val="21"/>
                      <w:lang w:val="en-US" w:eastAsia="zh-CN"/>
                    </w:rPr>
                    <w:t>3</w:t>
                  </w:r>
                </w:p>
              </w:tc>
              <w:tc>
                <w:tcPr>
                  <w:tcW w:w="714" w:type="dxa"/>
                  <w:vMerge w:val="restart"/>
                  <w:noWrap w:val="0"/>
                  <w:vAlign w:val="center"/>
                </w:tcPr>
                <w:p>
                  <w:pPr>
                    <w:rPr>
                      <w:rFonts w:hint="eastAsia" w:eastAsia="黑体"/>
                      <w:sz w:val="21"/>
                      <w:szCs w:val="21"/>
                    </w:rPr>
                  </w:pPr>
                  <w:r>
                    <w:rPr>
                      <w:rFonts w:hint="eastAsia" w:eastAsia="黑体"/>
                      <w:sz w:val="21"/>
                      <w:szCs w:val="21"/>
                    </w:rPr>
                    <w:t>降低设</w:t>
                  </w:r>
                </w:p>
                <w:p>
                  <w:pPr>
                    <w:rPr>
                      <w:rFonts w:hint="eastAsia" w:eastAsia="黑体"/>
                      <w:sz w:val="21"/>
                      <w:szCs w:val="21"/>
                    </w:rPr>
                  </w:pPr>
                  <w:r>
                    <w:rPr>
                      <w:rFonts w:hint="eastAsia" w:eastAsia="黑体"/>
                      <w:sz w:val="21"/>
                      <w:szCs w:val="21"/>
                    </w:rPr>
                    <w:t>备噪声</w:t>
                  </w:r>
                </w:p>
              </w:tc>
              <w:tc>
                <w:tcPr>
                  <w:tcW w:w="1319" w:type="dxa"/>
                  <w:vMerge w:val="restart"/>
                  <w:noWrap w:val="0"/>
                  <w:vAlign w:val="center"/>
                </w:tcPr>
                <w:p>
                  <w:pPr>
                    <w:rPr>
                      <w:rFonts w:hint="eastAsia"/>
                      <w:sz w:val="21"/>
                      <w:szCs w:val="21"/>
                    </w:rPr>
                  </w:pPr>
                  <w:r>
                    <w:rPr>
                      <w:rFonts w:hint="eastAsia"/>
                      <w:sz w:val="21"/>
                      <w:szCs w:val="21"/>
                    </w:rPr>
                    <w:t>加强设备维护管理采用降低设备噪声的技术，使本厂的厂界噪声达到《工业企业厂界噪声标准》中3类区限值的要求。</w:t>
                  </w:r>
                </w:p>
              </w:tc>
              <w:tc>
                <w:tcPr>
                  <w:tcW w:w="3605" w:type="dxa"/>
                  <w:noWrap w:val="0"/>
                  <w:vAlign w:val="center"/>
                </w:tcPr>
                <w:p>
                  <w:pPr>
                    <w:rPr>
                      <w:rFonts w:hint="eastAsia"/>
                      <w:sz w:val="21"/>
                      <w:szCs w:val="21"/>
                    </w:rPr>
                  </w:pPr>
                  <w:r>
                    <w:rPr>
                      <w:rFonts w:hint="eastAsia"/>
                      <w:sz w:val="21"/>
                      <w:szCs w:val="21"/>
                    </w:rPr>
                    <w:t>（1）加强对设备设施的维护管理，确保设备完好达标使用，定期抽查设备的维护和保养情况。</w:t>
                  </w:r>
                </w:p>
              </w:tc>
              <w:tc>
                <w:tcPr>
                  <w:tcW w:w="898" w:type="dxa"/>
                  <w:noWrap w:val="0"/>
                  <w:vAlign w:val="center"/>
                </w:tcPr>
                <w:p>
                  <w:pPr>
                    <w:jc w:val="center"/>
                    <w:rPr>
                      <w:rFonts w:hint="eastAsia"/>
                      <w:sz w:val="21"/>
                      <w:szCs w:val="21"/>
                    </w:rPr>
                  </w:pPr>
                </w:p>
              </w:tc>
              <w:tc>
                <w:tcPr>
                  <w:tcW w:w="822" w:type="dxa"/>
                  <w:noWrap w:val="0"/>
                  <w:vAlign w:val="center"/>
                </w:tcPr>
                <w:p>
                  <w:pPr>
                    <w:jc w:val="center"/>
                    <w:rPr>
                      <w:rFonts w:hint="eastAsia"/>
                      <w:sz w:val="21"/>
                      <w:szCs w:val="21"/>
                    </w:rPr>
                  </w:pPr>
                  <w:r>
                    <w:rPr>
                      <w:rFonts w:hint="eastAsia"/>
                      <w:sz w:val="21"/>
                      <w:szCs w:val="21"/>
                    </w:rPr>
                    <w:t>10月20日前</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（2）结合厂区扩建的需要，有步骤的实施更新改造，选用新型高科技设备，降低设备噪声，改善环境质量。</w:t>
                  </w:r>
                </w:p>
              </w:tc>
              <w:tc>
                <w:tcPr>
                  <w:tcW w:w="898" w:type="dxa"/>
                  <w:noWrap w:val="0"/>
                  <w:vAlign w:val="center"/>
                </w:tcPr>
                <w:p>
                  <w:pPr>
                    <w:jc w:val="center"/>
                    <w:rPr>
                      <w:rFonts w:hint="eastAsia"/>
                      <w:sz w:val="21"/>
                      <w:szCs w:val="21"/>
                    </w:rPr>
                  </w:pPr>
                  <w:r>
                    <w:rPr>
                      <w:rFonts w:hint="eastAsia"/>
                      <w:sz w:val="21"/>
                      <w:szCs w:val="21"/>
                    </w:rPr>
                    <w:t>1</w:t>
                  </w:r>
                </w:p>
              </w:tc>
              <w:tc>
                <w:tcPr>
                  <w:tcW w:w="822" w:type="dxa"/>
                  <w:noWrap w:val="0"/>
                  <w:vAlign w:val="center"/>
                </w:tcPr>
                <w:p>
                  <w:pPr>
                    <w:jc w:val="center"/>
                    <w:rPr>
                      <w:rFonts w:hint="eastAsia"/>
                      <w:sz w:val="21"/>
                      <w:szCs w:val="21"/>
                    </w:rPr>
                  </w:pPr>
                  <w:r>
                    <w:rPr>
                      <w:rFonts w:hint="eastAsia"/>
                      <w:sz w:val="21"/>
                      <w:szCs w:val="21"/>
                    </w:rPr>
                    <w:t>10月20日前</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（3）对现场进行设备检修，必要时更换零部件，作好设备的日常保养，降低设备运行噪声。</w:t>
                  </w:r>
                </w:p>
              </w:tc>
              <w:tc>
                <w:tcPr>
                  <w:tcW w:w="898" w:type="dxa"/>
                  <w:noWrap w:val="0"/>
                  <w:vAlign w:val="center"/>
                </w:tcPr>
                <w:p>
                  <w:pPr>
                    <w:jc w:val="center"/>
                    <w:rPr>
                      <w:rFonts w:hint="eastAsia"/>
                      <w:sz w:val="21"/>
                      <w:szCs w:val="21"/>
                    </w:rPr>
                  </w:pPr>
                  <w:r>
                    <w:rPr>
                      <w:rFonts w:hint="eastAsia"/>
                      <w:sz w:val="21"/>
                      <w:szCs w:val="21"/>
                    </w:rPr>
                    <w:t>2</w:t>
                  </w:r>
                </w:p>
              </w:tc>
              <w:tc>
                <w:tcPr>
                  <w:tcW w:w="822" w:type="dxa"/>
                  <w:noWrap w:val="0"/>
                  <w:vAlign w:val="center"/>
                </w:tcPr>
                <w:p>
                  <w:pPr>
                    <w:jc w:val="center"/>
                    <w:rPr>
                      <w:rFonts w:hint="eastAsia"/>
                      <w:sz w:val="21"/>
                      <w:szCs w:val="21"/>
                    </w:rPr>
                  </w:pPr>
                  <w:r>
                    <w:rPr>
                      <w:rFonts w:hint="eastAsia"/>
                      <w:sz w:val="21"/>
                      <w:szCs w:val="21"/>
                    </w:rPr>
                    <w:t>11月20日前</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（4）对于产生噪声比较大的设备，采取隔音、吸音措施，对于机房的门窗进行封闭，同时在空压机机房的内墙挂放隔音效果比较好的塑料泡沫。</w:t>
                  </w:r>
                </w:p>
              </w:tc>
              <w:tc>
                <w:tcPr>
                  <w:tcW w:w="898" w:type="dxa"/>
                  <w:noWrap w:val="0"/>
                  <w:vAlign w:val="center"/>
                </w:tcPr>
                <w:p>
                  <w:pPr>
                    <w:jc w:val="center"/>
                    <w:rPr>
                      <w:rFonts w:hint="eastAsia"/>
                      <w:sz w:val="21"/>
                      <w:szCs w:val="21"/>
                    </w:rPr>
                  </w:pPr>
                  <w:r>
                    <w:rPr>
                      <w:rFonts w:hint="eastAsia"/>
                      <w:sz w:val="21"/>
                      <w:szCs w:val="21"/>
                    </w:rPr>
                    <w:t>1</w:t>
                  </w:r>
                </w:p>
              </w:tc>
              <w:tc>
                <w:tcPr>
                  <w:tcW w:w="822" w:type="dxa"/>
                  <w:noWrap w:val="0"/>
                  <w:vAlign w:val="center"/>
                </w:tcPr>
                <w:p>
                  <w:pPr>
                    <w:jc w:val="center"/>
                    <w:rPr>
                      <w:rFonts w:hint="eastAsia"/>
                      <w:sz w:val="21"/>
                      <w:szCs w:val="21"/>
                    </w:rPr>
                  </w:pPr>
                  <w:r>
                    <w:rPr>
                      <w:rFonts w:hint="eastAsia"/>
                      <w:sz w:val="21"/>
                      <w:szCs w:val="21"/>
                    </w:rPr>
                    <w:t>11月20日前</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（6）对于现有生产设备采用，特别是一些陈旧设备，机修人员，进行紧固，防止因为设备在运转的过程中，因为设备自身的震动而产生噪声。</w:t>
                  </w:r>
                </w:p>
              </w:tc>
              <w:tc>
                <w:tcPr>
                  <w:tcW w:w="898" w:type="dxa"/>
                  <w:noWrap w:val="0"/>
                  <w:vAlign w:val="center"/>
                </w:tcPr>
                <w:p>
                  <w:pPr>
                    <w:jc w:val="center"/>
                    <w:rPr>
                      <w:rFonts w:hint="eastAsia"/>
                      <w:sz w:val="21"/>
                      <w:szCs w:val="21"/>
                    </w:rPr>
                  </w:pPr>
                  <w:r>
                    <w:rPr>
                      <w:rFonts w:hint="eastAsia"/>
                      <w:sz w:val="21"/>
                      <w:szCs w:val="21"/>
                    </w:rPr>
                    <w:t>1</w:t>
                  </w:r>
                </w:p>
              </w:tc>
              <w:tc>
                <w:tcPr>
                  <w:tcW w:w="822" w:type="dxa"/>
                  <w:noWrap w:val="0"/>
                  <w:vAlign w:val="center"/>
                </w:tcPr>
                <w:p>
                  <w:pPr>
                    <w:jc w:val="center"/>
                    <w:rPr>
                      <w:rFonts w:hint="eastAsia"/>
                      <w:sz w:val="21"/>
                      <w:szCs w:val="21"/>
                    </w:rPr>
                  </w:pPr>
                  <w:r>
                    <w:rPr>
                      <w:rFonts w:hint="eastAsia"/>
                      <w:sz w:val="21"/>
                      <w:szCs w:val="21"/>
                    </w:rPr>
                    <w:t>11月10日前</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center"/>
                </w:tcPr>
                <w:p>
                  <w:pPr>
                    <w:jc w:val="center"/>
                    <w:rPr>
                      <w:rFonts w:hint="eastAsia" w:eastAsia="黑体"/>
                      <w:sz w:val="21"/>
                      <w:szCs w:val="21"/>
                    </w:rPr>
                  </w:pPr>
                </w:p>
              </w:tc>
              <w:tc>
                <w:tcPr>
                  <w:tcW w:w="1319" w:type="dxa"/>
                  <w:vMerge w:val="continue"/>
                  <w:noWrap w:val="0"/>
                  <w:vAlign w:val="center"/>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（7）对于产生噪音比较大的生产设备尽量减少不必要的开机时间，特别是空压机，根据生产安排的需求，尽可能的减少陈旧设备的开机时间，而利用设备噪音比较小耗能比较低的新型设备。</w:t>
                  </w:r>
                </w:p>
              </w:tc>
              <w:tc>
                <w:tcPr>
                  <w:tcW w:w="898" w:type="dxa"/>
                  <w:noWrap w:val="0"/>
                  <w:vAlign w:val="center"/>
                </w:tcPr>
                <w:p>
                  <w:pPr>
                    <w:jc w:val="center"/>
                    <w:rPr>
                      <w:rFonts w:hint="eastAsia"/>
                      <w:sz w:val="21"/>
                      <w:szCs w:val="21"/>
                    </w:rPr>
                  </w:pPr>
                  <w:r>
                    <w:rPr>
                      <w:rFonts w:hint="eastAsia"/>
                      <w:sz w:val="21"/>
                      <w:szCs w:val="21"/>
                    </w:rPr>
                    <w:t>2</w:t>
                  </w: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center"/>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eastAsia="黑体"/>
                      <w:b/>
                      <w:bCs/>
                      <w:sz w:val="21"/>
                      <w:szCs w:val="21"/>
                    </w:rPr>
                  </w:pPr>
                  <w:r>
                    <w:rPr>
                      <w:rFonts w:hint="eastAsia"/>
                      <w:sz w:val="21"/>
                      <w:szCs w:val="21"/>
                    </w:rPr>
                    <w:t>☆</w:t>
                  </w:r>
                </w:p>
              </w:tc>
              <w:tc>
                <w:tcPr>
                  <w:tcW w:w="726" w:type="dxa"/>
                  <w:noWrap w:val="0"/>
                  <w:vAlign w:val="center"/>
                </w:tcPr>
                <w:p>
                  <w:pPr>
                    <w:jc w:val="center"/>
                    <w:rPr>
                      <w:rFonts w:hint="eastAsia" w:eastAsia="黑体"/>
                      <w:b/>
                      <w:bCs/>
                      <w:sz w:val="21"/>
                      <w:szCs w:val="21"/>
                    </w:rPr>
                  </w:pPr>
                  <w:r>
                    <w:rPr>
                      <w:rFonts w:hint="eastAsia"/>
                      <w:sz w:val="21"/>
                      <w:szCs w:val="21"/>
                    </w:rPr>
                    <w:t>▲</w:t>
                  </w:r>
                </w:p>
              </w:tc>
              <w:tc>
                <w:tcPr>
                  <w:tcW w:w="745" w:type="dxa"/>
                  <w:noWrap w:val="0"/>
                  <w:vAlign w:val="center"/>
                </w:tcPr>
                <w:p>
                  <w:pPr>
                    <w:jc w:val="center"/>
                    <w:rPr>
                      <w:rFonts w:hint="eastAsia" w:eastAsia="黑体"/>
                      <w:b/>
                      <w:bCs/>
                      <w:sz w:val="21"/>
                      <w:szCs w:val="21"/>
                    </w:rPr>
                  </w:pPr>
                </w:p>
              </w:tc>
              <w:tc>
                <w:tcPr>
                  <w:tcW w:w="669" w:type="dxa"/>
                  <w:noWrap w:val="0"/>
                  <w:vAlign w:val="center"/>
                </w:tcPr>
                <w:p>
                  <w:pPr>
                    <w:jc w:val="center"/>
                    <w:rPr>
                      <w:rFonts w:hint="eastAsia" w:eastAsia="黑体"/>
                      <w:b/>
                      <w:bCs/>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42" w:type="dxa"/>
                  <w:vMerge w:val="restart"/>
                  <w:noWrap w:val="0"/>
                  <w:vAlign w:val="center"/>
                </w:tcPr>
                <w:p>
                  <w:pPr>
                    <w:jc w:val="center"/>
                    <w:rPr>
                      <w:rFonts w:hint="eastAsia" w:eastAsia="黑体"/>
                      <w:sz w:val="21"/>
                      <w:szCs w:val="21"/>
                      <w:lang w:eastAsia="zh-CN"/>
                    </w:rPr>
                  </w:pPr>
                  <w:r>
                    <w:rPr>
                      <w:rFonts w:hint="eastAsia" w:eastAsia="黑体"/>
                      <w:sz w:val="21"/>
                      <w:szCs w:val="21"/>
                      <w:lang w:val="en-US" w:eastAsia="zh-CN"/>
                    </w:rPr>
                    <w:t>4</w:t>
                  </w:r>
                </w:p>
              </w:tc>
              <w:tc>
                <w:tcPr>
                  <w:tcW w:w="714" w:type="dxa"/>
                  <w:vMerge w:val="restart"/>
                  <w:noWrap w:val="0"/>
                  <w:vAlign w:val="center"/>
                </w:tcPr>
                <w:p>
                  <w:pPr>
                    <w:rPr>
                      <w:rFonts w:hint="eastAsia" w:eastAsia="黑体"/>
                      <w:sz w:val="21"/>
                      <w:szCs w:val="21"/>
                    </w:rPr>
                  </w:pPr>
                  <w:r>
                    <w:rPr>
                      <w:rFonts w:hint="eastAsia" w:eastAsia="黑体"/>
                      <w:sz w:val="21"/>
                      <w:szCs w:val="21"/>
                    </w:rPr>
                    <w:t>实现生产废气达标排放</w:t>
                  </w:r>
                </w:p>
              </w:tc>
              <w:tc>
                <w:tcPr>
                  <w:tcW w:w="1319" w:type="dxa"/>
                  <w:vMerge w:val="restart"/>
                  <w:noWrap w:val="0"/>
                  <w:vAlign w:val="center"/>
                </w:tcPr>
                <w:p>
                  <w:pPr>
                    <w:rPr>
                      <w:rFonts w:hint="eastAsia"/>
                      <w:sz w:val="21"/>
                      <w:szCs w:val="21"/>
                    </w:rPr>
                  </w:pPr>
                  <w:r>
                    <w:rPr>
                      <w:rFonts w:hint="eastAsia"/>
                      <w:sz w:val="21"/>
                      <w:szCs w:val="21"/>
                    </w:rPr>
                    <w:t>生产废气达标排放</w:t>
                  </w:r>
                </w:p>
              </w:tc>
              <w:tc>
                <w:tcPr>
                  <w:tcW w:w="3605" w:type="dxa"/>
                  <w:noWrap w:val="0"/>
                  <w:vAlign w:val="center"/>
                </w:tcPr>
                <w:p>
                  <w:pPr>
                    <w:rPr>
                      <w:rFonts w:hint="eastAsia"/>
                      <w:sz w:val="21"/>
                      <w:szCs w:val="21"/>
                    </w:rPr>
                  </w:pPr>
                  <w:r>
                    <w:rPr>
                      <w:rFonts w:hint="eastAsia"/>
                      <w:sz w:val="21"/>
                      <w:szCs w:val="21"/>
                    </w:rPr>
                    <w:t>（1）加强对集尘设备设施的维护管理，确保设备完好达标使用，定期抽查设备的维护和保养情况。</w:t>
                  </w:r>
                </w:p>
              </w:tc>
              <w:tc>
                <w:tcPr>
                  <w:tcW w:w="898" w:type="dxa"/>
                  <w:noWrap w:val="0"/>
                  <w:vAlign w:val="center"/>
                </w:tcPr>
                <w:p>
                  <w:pPr>
                    <w:jc w:val="center"/>
                    <w:rPr>
                      <w:rFonts w:hint="eastAsia"/>
                      <w:b/>
                      <w:bCs/>
                      <w:sz w:val="21"/>
                      <w:szCs w:val="21"/>
                    </w:rPr>
                  </w:pPr>
                  <w:r>
                    <w:rPr>
                      <w:rFonts w:hint="eastAsia"/>
                      <w:b/>
                      <w:bCs/>
                      <w:sz w:val="21"/>
                      <w:szCs w:val="21"/>
                    </w:rPr>
                    <w:t>1</w:t>
                  </w:r>
                </w:p>
              </w:tc>
              <w:tc>
                <w:tcPr>
                  <w:tcW w:w="822" w:type="dxa"/>
                  <w:noWrap w:val="0"/>
                  <w:vAlign w:val="center"/>
                </w:tcPr>
                <w:p>
                  <w:pPr>
                    <w:jc w:val="center"/>
                    <w:rPr>
                      <w:rFonts w:hint="eastAsia"/>
                      <w:sz w:val="21"/>
                      <w:szCs w:val="21"/>
                    </w:rPr>
                  </w:pPr>
                  <w:r>
                    <w:rPr>
                      <w:rFonts w:hint="eastAsia"/>
                      <w:sz w:val="21"/>
                      <w:szCs w:val="21"/>
                    </w:rPr>
                    <w:t>1-12月</w:t>
                  </w:r>
                </w:p>
              </w:tc>
              <w:tc>
                <w:tcPr>
                  <w:tcW w:w="985" w:type="dxa"/>
                  <w:noWrap w:val="0"/>
                  <w:vAlign w:val="top"/>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sz w:val="21"/>
                      <w:szCs w:val="21"/>
                    </w:rPr>
                  </w:pPr>
                  <w:r>
                    <w:rPr>
                      <w:rFonts w:hint="eastAsia"/>
                      <w:sz w:val="21"/>
                      <w:szCs w:val="21"/>
                    </w:rPr>
                    <w:t>☆</w:t>
                  </w:r>
                </w:p>
              </w:tc>
              <w:tc>
                <w:tcPr>
                  <w:tcW w:w="726" w:type="dxa"/>
                  <w:noWrap w:val="0"/>
                  <w:vAlign w:val="center"/>
                </w:tcPr>
                <w:p>
                  <w:pPr>
                    <w:jc w:val="center"/>
                    <w:rPr>
                      <w:rFonts w:hint="eastAsia"/>
                      <w:sz w:val="21"/>
                      <w:szCs w:val="21"/>
                    </w:rPr>
                  </w:pPr>
                  <w:r>
                    <w:rPr>
                      <w:rFonts w:hint="eastAsia"/>
                      <w:sz w:val="21"/>
                      <w:szCs w:val="21"/>
                    </w:rPr>
                    <w:t>▲</w:t>
                  </w:r>
                </w:p>
              </w:tc>
              <w:tc>
                <w:tcPr>
                  <w:tcW w:w="745" w:type="dxa"/>
                  <w:noWrap w:val="0"/>
                  <w:vAlign w:val="center"/>
                </w:tcPr>
                <w:p>
                  <w:pPr>
                    <w:jc w:val="center"/>
                    <w:rPr>
                      <w:rFonts w:hint="eastAsia"/>
                      <w:sz w:val="21"/>
                      <w:szCs w:val="21"/>
                    </w:rPr>
                  </w:pPr>
                </w:p>
              </w:tc>
              <w:tc>
                <w:tcPr>
                  <w:tcW w:w="669" w:type="dxa"/>
                  <w:noWrap w:val="0"/>
                  <w:vAlign w:val="center"/>
                </w:tcPr>
                <w:p>
                  <w:pPr>
                    <w:jc w:val="center"/>
                    <w:rPr>
                      <w:rFonts w:hint="eastAsia"/>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42" w:type="dxa"/>
                  <w:vMerge w:val="continue"/>
                  <w:noWrap w:val="0"/>
                  <w:vAlign w:val="center"/>
                </w:tcPr>
                <w:p>
                  <w:pPr>
                    <w:jc w:val="center"/>
                    <w:rPr>
                      <w:rFonts w:hint="eastAsia" w:eastAsia="黑体"/>
                      <w:sz w:val="21"/>
                      <w:szCs w:val="21"/>
                    </w:rPr>
                  </w:pPr>
                </w:p>
              </w:tc>
              <w:tc>
                <w:tcPr>
                  <w:tcW w:w="714" w:type="dxa"/>
                  <w:vMerge w:val="continue"/>
                  <w:noWrap w:val="0"/>
                  <w:vAlign w:val="top"/>
                </w:tcPr>
                <w:p>
                  <w:pPr>
                    <w:jc w:val="center"/>
                    <w:rPr>
                      <w:rFonts w:hint="eastAsia" w:eastAsia="黑体"/>
                      <w:sz w:val="21"/>
                      <w:szCs w:val="21"/>
                    </w:rPr>
                  </w:pPr>
                </w:p>
              </w:tc>
              <w:tc>
                <w:tcPr>
                  <w:tcW w:w="1319" w:type="dxa"/>
                  <w:vMerge w:val="continue"/>
                  <w:noWrap w:val="0"/>
                  <w:vAlign w:val="top"/>
                </w:tcPr>
                <w:p>
                  <w:pPr>
                    <w:jc w:val="center"/>
                    <w:rPr>
                      <w:rFonts w:hint="eastAsia"/>
                      <w:sz w:val="21"/>
                      <w:szCs w:val="21"/>
                    </w:rPr>
                  </w:pPr>
                </w:p>
              </w:tc>
              <w:tc>
                <w:tcPr>
                  <w:tcW w:w="3605" w:type="dxa"/>
                  <w:noWrap w:val="0"/>
                  <w:vAlign w:val="center"/>
                </w:tcPr>
                <w:p>
                  <w:pPr>
                    <w:rPr>
                      <w:rFonts w:hint="eastAsia"/>
                      <w:sz w:val="21"/>
                      <w:szCs w:val="21"/>
                    </w:rPr>
                  </w:pPr>
                  <w:r>
                    <w:rPr>
                      <w:rFonts w:hint="eastAsia"/>
                      <w:sz w:val="21"/>
                      <w:szCs w:val="21"/>
                    </w:rPr>
                    <w:t>（2）定期清理，改善环境质量。</w:t>
                  </w:r>
                </w:p>
              </w:tc>
              <w:tc>
                <w:tcPr>
                  <w:tcW w:w="898" w:type="dxa"/>
                  <w:noWrap w:val="0"/>
                  <w:vAlign w:val="center"/>
                </w:tcPr>
                <w:p>
                  <w:pPr>
                    <w:jc w:val="center"/>
                    <w:rPr>
                      <w:rFonts w:hint="eastAsia"/>
                      <w:b/>
                      <w:bCs/>
                      <w:sz w:val="21"/>
                      <w:szCs w:val="21"/>
                    </w:rPr>
                  </w:pPr>
                </w:p>
              </w:tc>
              <w:tc>
                <w:tcPr>
                  <w:tcW w:w="822" w:type="dxa"/>
                  <w:noWrap w:val="0"/>
                  <w:vAlign w:val="center"/>
                </w:tcPr>
                <w:p>
                  <w:pPr>
                    <w:rPr>
                      <w:rFonts w:hint="eastAsia"/>
                      <w:sz w:val="21"/>
                      <w:szCs w:val="21"/>
                    </w:rPr>
                  </w:pPr>
                  <w:r>
                    <w:rPr>
                      <w:rFonts w:hint="eastAsia"/>
                      <w:sz w:val="21"/>
                      <w:szCs w:val="21"/>
                    </w:rPr>
                    <w:t>1-12月</w:t>
                  </w:r>
                </w:p>
              </w:tc>
              <w:tc>
                <w:tcPr>
                  <w:tcW w:w="985" w:type="dxa"/>
                  <w:noWrap w:val="0"/>
                  <w:vAlign w:val="top"/>
                </w:tcPr>
                <w:p>
                  <w:pPr>
                    <w:rPr>
                      <w:rFonts w:hint="eastAsia" w:eastAsia="宋体"/>
                      <w:sz w:val="21"/>
                      <w:szCs w:val="21"/>
                      <w:lang w:eastAsia="zh-CN"/>
                    </w:rPr>
                  </w:pPr>
                  <w:r>
                    <w:rPr>
                      <w:rFonts w:hint="eastAsia"/>
                      <w:sz w:val="21"/>
                      <w:szCs w:val="21"/>
                      <w:lang w:eastAsia="zh-CN"/>
                    </w:rPr>
                    <w:t>庞向军</w:t>
                  </w:r>
                </w:p>
              </w:tc>
              <w:tc>
                <w:tcPr>
                  <w:tcW w:w="707" w:type="dxa"/>
                  <w:noWrap w:val="0"/>
                  <w:vAlign w:val="center"/>
                </w:tcPr>
                <w:p>
                  <w:pPr>
                    <w:jc w:val="center"/>
                    <w:rPr>
                      <w:rFonts w:hint="eastAsia"/>
                      <w:sz w:val="21"/>
                      <w:szCs w:val="21"/>
                    </w:rPr>
                  </w:pPr>
                  <w:r>
                    <w:rPr>
                      <w:rFonts w:hint="eastAsia"/>
                      <w:sz w:val="21"/>
                      <w:szCs w:val="21"/>
                    </w:rPr>
                    <w:t>☆</w:t>
                  </w:r>
                </w:p>
              </w:tc>
              <w:tc>
                <w:tcPr>
                  <w:tcW w:w="726" w:type="dxa"/>
                  <w:noWrap w:val="0"/>
                  <w:vAlign w:val="center"/>
                </w:tcPr>
                <w:p>
                  <w:pPr>
                    <w:jc w:val="center"/>
                    <w:rPr>
                      <w:rFonts w:hint="eastAsia"/>
                      <w:sz w:val="21"/>
                      <w:szCs w:val="21"/>
                    </w:rPr>
                  </w:pPr>
                  <w:r>
                    <w:rPr>
                      <w:rFonts w:hint="eastAsia"/>
                      <w:sz w:val="21"/>
                      <w:szCs w:val="21"/>
                    </w:rPr>
                    <w:t>▲</w:t>
                  </w:r>
                </w:p>
              </w:tc>
              <w:tc>
                <w:tcPr>
                  <w:tcW w:w="745" w:type="dxa"/>
                  <w:noWrap w:val="0"/>
                  <w:vAlign w:val="center"/>
                </w:tcPr>
                <w:p>
                  <w:pPr>
                    <w:jc w:val="center"/>
                    <w:rPr>
                      <w:rFonts w:hint="eastAsia"/>
                      <w:sz w:val="21"/>
                      <w:szCs w:val="21"/>
                    </w:rPr>
                  </w:pPr>
                </w:p>
              </w:tc>
              <w:tc>
                <w:tcPr>
                  <w:tcW w:w="669" w:type="dxa"/>
                  <w:noWrap w:val="0"/>
                  <w:vAlign w:val="center"/>
                </w:tcPr>
                <w:p>
                  <w:pPr>
                    <w:jc w:val="center"/>
                    <w:rPr>
                      <w:rFonts w:hint="eastAsia"/>
                      <w:sz w:val="21"/>
                      <w:szCs w:val="21"/>
                    </w:rPr>
                  </w:pPr>
                </w:p>
              </w:tc>
              <w:tc>
                <w:tcPr>
                  <w:tcW w:w="662" w:type="dxa"/>
                  <w:noWrap w:val="0"/>
                  <w:vAlign w:val="center"/>
                </w:tcPr>
                <w:p>
                  <w:pPr>
                    <w:jc w:val="center"/>
                    <w:rPr>
                      <w:rFonts w:hint="eastAsia" w:eastAsia="黑体"/>
                      <w:b/>
                      <w:bCs/>
                      <w:sz w:val="21"/>
                      <w:szCs w:val="21"/>
                    </w:rPr>
                  </w:pPr>
                </w:p>
              </w:tc>
              <w:tc>
                <w:tcPr>
                  <w:tcW w:w="401" w:type="dxa"/>
                  <w:vMerge w:val="continue"/>
                  <w:noWrap w:val="0"/>
                  <w:vAlign w:val="top"/>
                </w:tcPr>
                <w:p>
                  <w:pPr>
                    <w:rPr>
                      <w:rFonts w:hint="eastAsia"/>
                      <w:sz w:val="21"/>
                      <w:szCs w:val="21"/>
                    </w:rPr>
                  </w:pPr>
                </w:p>
              </w:tc>
            </w:tr>
          </w:tbl>
          <w:p>
            <w:pPr>
              <w:spacing w:line="360" w:lineRule="auto"/>
              <w:rPr>
                <w:color w:val="auto"/>
                <w:szCs w:val="22"/>
              </w:rPr>
            </w:pPr>
            <w:r>
              <w:rPr>
                <w:rFonts w:hint="eastAsia"/>
                <w:sz w:val="21"/>
                <w:szCs w:val="21"/>
              </w:rPr>
              <w:t>编制：</w:t>
            </w:r>
            <w:r>
              <w:rPr>
                <w:rFonts w:hint="eastAsia"/>
                <w:sz w:val="21"/>
                <w:szCs w:val="21"/>
                <w:lang w:eastAsia="zh-CN"/>
              </w:rPr>
              <w:t>庞向军</w:t>
            </w:r>
            <w:r>
              <w:rPr>
                <w:rFonts w:hint="eastAsia"/>
                <w:sz w:val="21"/>
                <w:szCs w:val="21"/>
              </w:rPr>
              <w:t xml:space="preserve">     审核：</w:t>
            </w:r>
            <w:r>
              <w:rPr>
                <w:rFonts w:hint="eastAsia"/>
                <w:sz w:val="21"/>
                <w:szCs w:val="21"/>
                <w:lang w:eastAsia="zh-CN"/>
              </w:rPr>
              <w:t>杨雷</w:t>
            </w:r>
            <w:r>
              <w:rPr>
                <w:rFonts w:hint="eastAsia"/>
                <w:sz w:val="21"/>
                <w:szCs w:val="21"/>
              </w:rPr>
              <w:t>　　　　　　　　批准：</w:t>
            </w:r>
            <w:r>
              <w:rPr>
                <w:rFonts w:hint="eastAsia"/>
                <w:sz w:val="21"/>
                <w:szCs w:val="21"/>
                <w:lang w:eastAsia="zh-CN"/>
              </w:rPr>
              <w:t>杨雷</w:t>
            </w:r>
            <w:r>
              <w:rPr>
                <w:rFonts w:hint="eastAsia"/>
                <w:sz w:val="21"/>
                <w:szCs w:val="21"/>
              </w:rPr>
              <w:t>　　　　　　　　　　　日期：20</w:t>
            </w:r>
            <w:r>
              <w:rPr>
                <w:rFonts w:hint="eastAsia"/>
                <w:sz w:val="21"/>
                <w:szCs w:val="21"/>
                <w:lang w:val="en-US" w:eastAsia="zh-CN"/>
              </w:rPr>
              <w:t>21</w:t>
            </w:r>
            <w:r>
              <w:rPr>
                <w:rFonts w:hint="eastAsia"/>
                <w:sz w:val="21"/>
                <w:szCs w:val="21"/>
              </w:rPr>
              <w:t>年1月6日</w:t>
            </w:r>
          </w:p>
          <w:p>
            <w:pPr>
              <w:spacing w:line="360" w:lineRule="auto"/>
              <w:rPr>
                <w:color w:val="000000" w:themeColor="text1"/>
                <w:szCs w:val="22"/>
              </w:rPr>
            </w:pPr>
            <w:r>
              <w:rPr>
                <w:rFonts w:hint="eastAsia"/>
                <w:color w:val="000000" w:themeColor="text1"/>
                <w:szCs w:val="22"/>
              </w:rPr>
              <w:t>查到公司的环境指标：固体废弃物有效处置率100%；火灾发生率0；生产废气、粉尘集尘处理率100%；设备隔音处理率100%；化学品泄露率为0。</w:t>
            </w:r>
          </w:p>
          <w:p>
            <w:pPr>
              <w:spacing w:line="360" w:lineRule="auto"/>
              <w:rPr>
                <w:color w:val="000000" w:themeColor="text1"/>
                <w:szCs w:val="22"/>
              </w:rPr>
            </w:pPr>
            <w:r>
              <w:rPr>
                <w:rFonts w:hint="eastAsia"/>
                <w:color w:val="000000" w:themeColor="text1"/>
                <w:szCs w:val="22"/>
              </w:rPr>
              <w:t>查到目标完成情况考核表：</w:t>
            </w:r>
          </w:p>
          <w:p>
            <w:pPr>
              <w:spacing w:line="360" w:lineRule="auto"/>
              <w:rPr>
                <w:color w:val="FF0000"/>
                <w:szCs w:val="22"/>
              </w:rPr>
            </w:pPr>
          </w:p>
          <w:tbl>
            <w:tblPr>
              <w:tblStyle w:val="9"/>
              <w:tblW w:w="6520"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jc w:val="center"/>
                    <w:rPr>
                      <w:rFonts w:ascii="宋体" w:hAnsi="宋体"/>
                      <w:bCs/>
                      <w:szCs w:val="21"/>
                    </w:rPr>
                  </w:pPr>
                  <w:r>
                    <w:rPr>
                      <w:rFonts w:hint="eastAsia" w:ascii="宋体" w:hAnsi="宋体"/>
                      <w:szCs w:val="21"/>
                    </w:rPr>
                    <w:t>目标指标</w:t>
                  </w:r>
                </w:p>
              </w:tc>
              <w:tc>
                <w:tcPr>
                  <w:tcW w:w="2126" w:type="dxa"/>
                  <w:vAlign w:val="center"/>
                </w:tcPr>
                <w:p>
                  <w:pPr>
                    <w:spacing w:line="240" w:lineRule="exact"/>
                    <w:jc w:val="center"/>
                    <w:rPr>
                      <w:rFonts w:ascii="宋体" w:hAnsi="宋体"/>
                      <w:bCs/>
                      <w:szCs w:val="21"/>
                    </w:rPr>
                  </w:pPr>
                  <w:r>
                    <w:rPr>
                      <w:rFonts w:hint="eastAsia" w:ascii="宋体" w:hAnsi="宋体"/>
                      <w:szCs w:val="21"/>
                    </w:rPr>
                    <w:t>完成情况</w:t>
                  </w:r>
                </w:p>
              </w:tc>
              <w:tc>
                <w:tcPr>
                  <w:tcW w:w="850" w:type="dxa"/>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宋体" w:hAnsi="宋体"/>
                      <w:bCs/>
                      <w:szCs w:val="21"/>
                    </w:rPr>
                  </w:pPr>
                  <w:r>
                    <w:rPr>
                      <w:rFonts w:hint="eastAsia" w:ascii="宋体" w:hAnsi="宋体"/>
                      <w:bCs/>
                      <w:szCs w:val="21"/>
                    </w:rPr>
                    <w:t>培训计划完成率100%</w:t>
                  </w:r>
                </w:p>
              </w:tc>
              <w:tc>
                <w:tcPr>
                  <w:tcW w:w="2126" w:type="dxa"/>
                  <w:vAlign w:val="center"/>
                </w:tcPr>
                <w:p>
                  <w:pPr>
                    <w:spacing w:line="240" w:lineRule="exact"/>
                    <w:jc w:val="center"/>
                    <w:rPr>
                      <w:rFonts w:ascii="宋体" w:hAnsi="宋体"/>
                      <w:bCs/>
                      <w:szCs w:val="21"/>
                    </w:rPr>
                  </w:pPr>
                  <w:r>
                    <w:rPr>
                      <w:rFonts w:hint="eastAsia" w:ascii="宋体" w:hAnsi="宋体"/>
                      <w:bCs/>
                      <w:szCs w:val="21"/>
                    </w:rPr>
                    <w:t>100%</w:t>
                  </w:r>
                </w:p>
              </w:tc>
              <w:tc>
                <w:tcPr>
                  <w:tcW w:w="850" w:type="dxa"/>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宋体" w:hAnsi="宋体"/>
                      <w:bCs/>
                      <w:szCs w:val="21"/>
                    </w:rPr>
                  </w:pPr>
                  <w:r>
                    <w:rPr>
                      <w:rFonts w:hint="eastAsia" w:ascii="宋体" w:hAnsi="宋体"/>
                      <w:bCs/>
                      <w:szCs w:val="21"/>
                    </w:rPr>
                    <w:t>培训合格率100%</w:t>
                  </w:r>
                </w:p>
              </w:tc>
              <w:tc>
                <w:tcPr>
                  <w:tcW w:w="2126" w:type="dxa"/>
                  <w:vAlign w:val="center"/>
                </w:tcPr>
                <w:p>
                  <w:pPr>
                    <w:spacing w:line="240" w:lineRule="exact"/>
                    <w:jc w:val="center"/>
                    <w:rPr>
                      <w:rFonts w:ascii="宋体" w:hAnsi="宋体"/>
                      <w:bCs/>
                      <w:szCs w:val="21"/>
                    </w:rPr>
                  </w:pPr>
                  <w:r>
                    <w:rPr>
                      <w:rFonts w:hint="eastAsia" w:ascii="宋体" w:hAnsi="宋体"/>
                      <w:bCs/>
                      <w:szCs w:val="21"/>
                    </w:rPr>
                    <w:t>100%</w:t>
                  </w:r>
                </w:p>
              </w:tc>
              <w:tc>
                <w:tcPr>
                  <w:tcW w:w="850" w:type="dxa"/>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宋体" w:hAnsi="宋体"/>
                      <w:bCs/>
                      <w:szCs w:val="21"/>
                    </w:rPr>
                  </w:pPr>
                  <w:r>
                    <w:rPr>
                      <w:rFonts w:hint="eastAsia" w:ascii="宋体" w:hAnsi="宋体"/>
                      <w:bCs/>
                      <w:szCs w:val="21"/>
                    </w:rPr>
                    <w:t>文件化信息受控率100%</w:t>
                  </w:r>
                </w:p>
              </w:tc>
              <w:tc>
                <w:tcPr>
                  <w:tcW w:w="2126" w:type="dxa"/>
                  <w:vAlign w:val="center"/>
                </w:tcPr>
                <w:p>
                  <w:pPr>
                    <w:spacing w:line="240" w:lineRule="exact"/>
                    <w:jc w:val="center"/>
                    <w:rPr>
                      <w:rFonts w:ascii="宋体" w:hAnsi="宋体"/>
                      <w:bCs/>
                      <w:szCs w:val="21"/>
                    </w:rPr>
                  </w:pPr>
                  <w:r>
                    <w:rPr>
                      <w:rFonts w:hint="eastAsia" w:ascii="宋体" w:hAnsi="宋体"/>
                      <w:bCs/>
                      <w:szCs w:val="21"/>
                    </w:rPr>
                    <w:t>100%</w:t>
                  </w:r>
                </w:p>
              </w:tc>
              <w:tc>
                <w:tcPr>
                  <w:tcW w:w="850" w:type="dxa"/>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宋体" w:hAnsi="宋体"/>
                      <w:bCs/>
                      <w:szCs w:val="21"/>
                    </w:rPr>
                  </w:pPr>
                  <w:r>
                    <w:rPr>
                      <w:rFonts w:hint="eastAsia" w:ascii="宋体" w:hAnsi="宋体"/>
                      <w:bCs/>
                      <w:szCs w:val="21"/>
                    </w:rPr>
                    <w:t>固体废弃物有效处置率100%</w:t>
                  </w:r>
                </w:p>
              </w:tc>
              <w:tc>
                <w:tcPr>
                  <w:tcW w:w="2126" w:type="dxa"/>
                  <w:vAlign w:val="center"/>
                </w:tcPr>
                <w:p>
                  <w:pPr>
                    <w:spacing w:line="240" w:lineRule="exact"/>
                    <w:jc w:val="center"/>
                    <w:rPr>
                      <w:rFonts w:ascii="宋体" w:hAnsi="宋体"/>
                      <w:bCs/>
                      <w:szCs w:val="21"/>
                    </w:rPr>
                  </w:pPr>
                  <w:r>
                    <w:rPr>
                      <w:rFonts w:hint="eastAsia" w:ascii="宋体" w:hAnsi="宋体"/>
                      <w:bCs/>
                      <w:szCs w:val="21"/>
                    </w:rPr>
                    <w:t>100%</w:t>
                  </w:r>
                </w:p>
              </w:tc>
              <w:tc>
                <w:tcPr>
                  <w:tcW w:w="850" w:type="dxa"/>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宋体" w:hAnsi="宋体"/>
                      <w:bCs/>
                      <w:szCs w:val="21"/>
                    </w:rPr>
                  </w:pPr>
                  <w:r>
                    <w:rPr>
                      <w:rFonts w:hint="eastAsia" w:ascii="宋体" w:hAnsi="宋体"/>
                      <w:bCs/>
                      <w:szCs w:val="21"/>
                    </w:rPr>
                    <w:t>火灾发生率0</w:t>
                  </w:r>
                </w:p>
              </w:tc>
              <w:tc>
                <w:tcPr>
                  <w:tcW w:w="2126" w:type="dxa"/>
                  <w:vAlign w:val="center"/>
                </w:tcPr>
                <w:p>
                  <w:pPr>
                    <w:spacing w:line="240" w:lineRule="exact"/>
                    <w:jc w:val="center"/>
                    <w:rPr>
                      <w:rFonts w:ascii="宋体" w:hAnsi="宋体"/>
                      <w:bCs/>
                      <w:szCs w:val="21"/>
                    </w:rPr>
                  </w:pPr>
                  <w:r>
                    <w:rPr>
                      <w:rFonts w:hint="eastAsia" w:ascii="宋体" w:hAnsi="宋体"/>
                      <w:bCs/>
                      <w:szCs w:val="21"/>
                    </w:rPr>
                    <w:t>0</w:t>
                  </w:r>
                </w:p>
              </w:tc>
              <w:tc>
                <w:tcPr>
                  <w:tcW w:w="850" w:type="dxa"/>
                  <w:vAlign w:val="center"/>
                </w:tcPr>
                <w:p>
                  <w:pPr>
                    <w:spacing w:line="240" w:lineRule="exact"/>
                    <w:rPr>
                      <w:rFonts w:ascii="宋体" w:hAnsi="宋体"/>
                      <w:bCs/>
                      <w:szCs w:val="21"/>
                    </w:rPr>
                  </w:pPr>
                </w:p>
              </w:tc>
            </w:tr>
          </w:tbl>
          <w:p>
            <w:pPr>
              <w:spacing w:line="360" w:lineRule="auto"/>
              <w:rPr>
                <w:szCs w:val="22"/>
              </w:rPr>
            </w:pPr>
          </w:p>
          <w:p>
            <w:pPr>
              <w:spacing w:line="360" w:lineRule="auto"/>
              <w:rPr>
                <w:szCs w:val="22"/>
              </w:rPr>
            </w:pPr>
            <w:r>
              <w:rPr>
                <w:rFonts w:hint="eastAsia"/>
                <w:szCs w:val="22"/>
              </w:rPr>
              <w:t>考核人：任国强、庞向军，    考核日期：</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 xml:space="preserve">月2日 </w:t>
            </w:r>
            <w:r>
              <w:rPr>
                <w:rFonts w:hint="eastAsia"/>
                <w:szCs w:val="22"/>
              </w:rPr>
              <w:t>，以上能达标完成。</w:t>
            </w:r>
          </w:p>
          <w:p>
            <w:pPr>
              <w:spacing w:line="360" w:lineRule="auto"/>
              <w:rPr>
                <w:color w:val="000000" w:themeColor="text1"/>
                <w:szCs w:val="22"/>
              </w:rPr>
            </w:pPr>
            <w:r>
              <w:rPr>
                <w:rFonts w:hint="eastAsia"/>
                <w:color w:val="000000" w:themeColor="text1"/>
                <w:szCs w:val="22"/>
              </w:rPr>
              <w:t>管理方案由责任部门组织实施，目前在实施中，部分已完成。</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ascii="楷体" w:hAnsi="楷体" w:eastAsia="楷体" w:cs="宋体"/>
                <w:sz w:val="24"/>
                <w:szCs w:val="24"/>
              </w:rPr>
            </w:pPr>
            <w:r>
              <w:rPr>
                <w:rFonts w:hint="eastAsia" w:ascii="楷体" w:hAnsi="楷体" w:eastAsia="楷体" w:cs="宋体"/>
                <w:sz w:val="24"/>
                <w:szCs w:val="24"/>
              </w:rPr>
              <w:t xml:space="preserve"> </w:t>
            </w:r>
          </w:p>
          <w:p>
            <w:pPr>
              <w:snapToGrid w:val="0"/>
              <w:spacing w:line="360" w:lineRule="auto"/>
              <w:rPr>
                <w:szCs w:val="22"/>
              </w:rPr>
            </w:pPr>
            <w:r>
              <w:rPr>
                <w:rFonts w:hint="eastAsia" w:ascii="楷体" w:hAnsi="楷体" w:eastAsia="楷体" w:cs="Arial"/>
                <w:sz w:val="24"/>
                <w:szCs w:val="24"/>
              </w:rPr>
              <w:t>环境因素</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 xml:space="preserve">E6.1.2 </w:t>
            </w:r>
          </w:p>
          <w:p>
            <w:pPr>
              <w:spacing w:line="360" w:lineRule="auto"/>
              <w:rPr>
                <w:szCs w:val="22"/>
              </w:rPr>
            </w:pPr>
          </w:p>
        </w:tc>
        <w:tc>
          <w:tcPr>
            <w:tcW w:w="11591" w:type="dxa"/>
          </w:tcPr>
          <w:p>
            <w:pPr>
              <w:spacing w:line="360" w:lineRule="auto"/>
              <w:ind w:firstLine="420" w:firstLineChars="200"/>
              <w:rPr>
                <w:color w:val="000000" w:themeColor="text1"/>
                <w:szCs w:val="22"/>
              </w:rPr>
            </w:pPr>
            <w:r>
              <w:rPr>
                <w:rFonts w:hint="eastAsia"/>
                <w:color w:val="000000" w:themeColor="text1"/>
                <w:szCs w:val="22"/>
              </w:rPr>
              <w:t>综合办作为环境管理体系的推进部门，主要负责识别评价相关的环境因素，查有：《环境因素识别与评价控制程序》。</w:t>
            </w:r>
          </w:p>
          <w:p>
            <w:pPr>
              <w:spacing w:line="360" w:lineRule="auto"/>
              <w:rPr>
                <w:color w:val="000000" w:themeColor="text1"/>
                <w:szCs w:val="22"/>
              </w:rPr>
            </w:pPr>
            <w:r>
              <w:rPr>
                <w:rFonts w:hint="eastAsia"/>
                <w:color w:val="000000" w:themeColor="text1"/>
                <w:szCs w:val="22"/>
              </w:rPr>
              <w:t>根据各生产、办公、销售过程环节识别，由综合办统一汇总。</w:t>
            </w:r>
          </w:p>
          <w:p>
            <w:pPr>
              <w:spacing w:line="360" w:lineRule="auto"/>
              <w:rPr>
                <w:color w:val="000000" w:themeColor="text1"/>
                <w:szCs w:val="22"/>
              </w:rPr>
            </w:pPr>
            <w:r>
              <w:rPr>
                <w:rFonts w:hint="eastAsia"/>
                <w:color w:val="000000" w:themeColor="text1"/>
                <w:szCs w:val="22"/>
              </w:rPr>
              <w:t xml:space="preserve">提供了《环境因素识别评价汇总表》，综合办、生产部、设备部、集团办、研发部、实验中心、采购部、销售部等部门发布识别了其部门的环境因素，识别了体系覆盖的各过程的环境因素，如水电消耗、包装物消耗、废旧办公设备排放、废水排放、生活垃圾排放、运输汽车尾气扬尘排放、加工边角料排放、废切削液排放、设备噪声的排放等环境因素，但是识别不够细致、充分，现场交流。 </w:t>
            </w:r>
          </w:p>
          <w:p>
            <w:pPr>
              <w:spacing w:line="360" w:lineRule="auto"/>
              <w:rPr>
                <w:rFonts w:ascii="楷体" w:hAnsi="楷体" w:eastAsia="楷体" w:cs="楷体"/>
                <w:sz w:val="24"/>
                <w:szCs w:val="24"/>
              </w:rPr>
            </w:pPr>
            <w:r>
              <w:rPr>
                <w:rFonts w:hint="eastAsia"/>
                <w:color w:val="000000" w:themeColor="text1"/>
                <w:szCs w:val="22"/>
              </w:rPr>
              <w:t>现场提供了《重要环境因素清单》，通过评价，公司共识别出重要环境因素7项。</w:t>
            </w:r>
            <w:r>
              <w:rPr>
                <w:rFonts w:hint="eastAsia" w:ascii="楷体" w:hAnsi="楷体" w:eastAsia="楷体" w:cs="楷体"/>
                <w:sz w:val="24"/>
                <w:szCs w:val="24"/>
              </w:rPr>
              <w:t xml:space="preserve"> </w:t>
            </w:r>
          </w:p>
          <w:tbl>
            <w:tblPr>
              <w:tblStyle w:val="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38"/>
              <w:gridCol w:w="1418"/>
              <w:gridCol w:w="2126"/>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647" w:type="dxa"/>
                  <w:vMerge w:val="restart"/>
                  <w:noWrap w:val="0"/>
                  <w:vAlign w:val="center"/>
                </w:tcPr>
                <w:p>
                  <w:pPr>
                    <w:jc w:val="center"/>
                    <w:rPr>
                      <w:rFonts w:hint="eastAsia"/>
                    </w:rPr>
                  </w:pPr>
                  <w:r>
                    <w:rPr>
                      <w:rFonts w:hint="eastAsia"/>
                    </w:rPr>
                    <w:t>序号</w:t>
                  </w:r>
                </w:p>
              </w:tc>
              <w:tc>
                <w:tcPr>
                  <w:tcW w:w="2438" w:type="dxa"/>
                  <w:vMerge w:val="restart"/>
                  <w:noWrap w:val="0"/>
                  <w:vAlign w:val="center"/>
                </w:tcPr>
                <w:p>
                  <w:pPr>
                    <w:jc w:val="center"/>
                    <w:rPr>
                      <w:rFonts w:hint="eastAsia"/>
                    </w:rPr>
                  </w:pPr>
                  <w:r>
                    <w:rPr>
                      <w:rFonts w:hint="eastAsia"/>
                    </w:rPr>
                    <w:t>重要环境因素</w:t>
                  </w:r>
                </w:p>
              </w:tc>
              <w:tc>
                <w:tcPr>
                  <w:tcW w:w="1418" w:type="dxa"/>
                  <w:vMerge w:val="restart"/>
                  <w:noWrap w:val="0"/>
                  <w:vAlign w:val="center"/>
                </w:tcPr>
                <w:p>
                  <w:pPr>
                    <w:jc w:val="center"/>
                    <w:rPr>
                      <w:rFonts w:hint="eastAsia"/>
                    </w:rPr>
                  </w:pPr>
                  <w:r>
                    <w:rPr>
                      <w:rFonts w:hint="eastAsia"/>
                    </w:rPr>
                    <w:t>存在部门</w:t>
                  </w:r>
                </w:p>
              </w:tc>
              <w:tc>
                <w:tcPr>
                  <w:tcW w:w="2126" w:type="dxa"/>
                  <w:vMerge w:val="restart"/>
                  <w:noWrap w:val="0"/>
                  <w:vAlign w:val="center"/>
                </w:tcPr>
                <w:p>
                  <w:pPr>
                    <w:jc w:val="left"/>
                    <w:rPr>
                      <w:rFonts w:hint="eastAsia"/>
                    </w:rPr>
                  </w:pPr>
                  <w:r>
                    <w:rPr>
                      <w:rFonts w:hint="eastAsia"/>
                    </w:rPr>
                    <w:t>环境影响</w:t>
                  </w:r>
                </w:p>
              </w:tc>
              <w:tc>
                <w:tcPr>
                  <w:tcW w:w="3402" w:type="dxa"/>
                  <w:gridSpan w:val="2"/>
                  <w:noWrap w:val="0"/>
                  <w:vAlign w:val="center"/>
                </w:tcPr>
                <w:p>
                  <w:pPr>
                    <w:jc w:val="center"/>
                    <w:rPr>
                      <w:rFonts w:hint="eastAsia"/>
                    </w:rPr>
                  </w:pPr>
                  <w:r>
                    <w:rPr>
                      <w:rFonts w:hint="eastAsia"/>
                    </w:rPr>
                    <w:t>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47" w:type="dxa"/>
                  <w:vMerge w:val="continue"/>
                  <w:noWrap w:val="0"/>
                  <w:vAlign w:val="center"/>
                </w:tcPr>
                <w:p>
                  <w:pPr>
                    <w:jc w:val="center"/>
                    <w:rPr>
                      <w:rFonts w:hint="eastAsia"/>
                    </w:rPr>
                  </w:pPr>
                </w:p>
              </w:tc>
              <w:tc>
                <w:tcPr>
                  <w:tcW w:w="2438" w:type="dxa"/>
                  <w:vMerge w:val="continue"/>
                  <w:noWrap w:val="0"/>
                  <w:vAlign w:val="center"/>
                </w:tcPr>
                <w:p>
                  <w:pPr>
                    <w:jc w:val="center"/>
                    <w:rPr>
                      <w:rFonts w:hint="eastAsia"/>
                    </w:rPr>
                  </w:pPr>
                </w:p>
              </w:tc>
              <w:tc>
                <w:tcPr>
                  <w:tcW w:w="1418" w:type="dxa"/>
                  <w:vMerge w:val="continue"/>
                  <w:noWrap w:val="0"/>
                  <w:vAlign w:val="center"/>
                </w:tcPr>
                <w:p>
                  <w:pPr>
                    <w:jc w:val="center"/>
                    <w:rPr>
                      <w:rFonts w:hint="eastAsia"/>
                    </w:rPr>
                  </w:pPr>
                </w:p>
              </w:tc>
              <w:tc>
                <w:tcPr>
                  <w:tcW w:w="2126" w:type="dxa"/>
                  <w:vMerge w:val="continue"/>
                  <w:noWrap w:val="0"/>
                  <w:vAlign w:val="center"/>
                </w:tcPr>
                <w:p>
                  <w:pPr>
                    <w:jc w:val="left"/>
                    <w:rPr>
                      <w:rFonts w:hint="eastAsia"/>
                    </w:rPr>
                  </w:pPr>
                </w:p>
              </w:tc>
              <w:tc>
                <w:tcPr>
                  <w:tcW w:w="1276" w:type="dxa"/>
                  <w:noWrap w:val="0"/>
                  <w:vAlign w:val="center"/>
                </w:tcPr>
                <w:p>
                  <w:pPr>
                    <w:jc w:val="center"/>
                    <w:rPr>
                      <w:rFonts w:hint="eastAsia"/>
                    </w:rPr>
                  </w:pPr>
                  <w:r>
                    <w:rPr>
                      <w:rFonts w:hint="eastAsia"/>
                    </w:rPr>
                    <w:t>目标指标</w:t>
                  </w:r>
                </w:p>
              </w:tc>
              <w:tc>
                <w:tcPr>
                  <w:tcW w:w="2126" w:type="dxa"/>
                  <w:noWrap w:val="0"/>
                  <w:vAlign w:val="center"/>
                </w:tcPr>
                <w:p>
                  <w:pPr>
                    <w:jc w:val="center"/>
                    <w:rPr>
                      <w:rFonts w:hint="eastAsia"/>
                    </w:rPr>
                  </w:pPr>
                  <w:r>
                    <w:rPr>
                      <w:rFonts w:hint="eastAsia"/>
                    </w:rPr>
                    <w:t>控制/应急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7" w:type="dxa"/>
                  <w:noWrap w:val="0"/>
                  <w:vAlign w:val="center"/>
                </w:tcPr>
                <w:p>
                  <w:pPr>
                    <w:rPr>
                      <w:rFonts w:hint="eastAsia"/>
                    </w:rPr>
                  </w:pPr>
                  <w:r>
                    <w:rPr>
                      <w:rFonts w:hint="eastAsia"/>
                    </w:rPr>
                    <w:t>01</w:t>
                  </w:r>
                </w:p>
              </w:tc>
              <w:tc>
                <w:tcPr>
                  <w:tcW w:w="2438" w:type="dxa"/>
                  <w:noWrap w:val="0"/>
                  <w:vAlign w:val="center"/>
                </w:tcPr>
                <w:p>
                  <w:pPr>
                    <w:rPr>
                      <w:rFonts w:hint="eastAsia"/>
                    </w:rPr>
                  </w:pPr>
                  <w:r>
                    <w:rPr>
                      <w:rFonts w:hint="eastAsia"/>
                    </w:rPr>
                    <w:t>设备噪声排放　</w:t>
                  </w:r>
                </w:p>
              </w:tc>
              <w:tc>
                <w:tcPr>
                  <w:tcW w:w="1418" w:type="dxa"/>
                  <w:noWrap w:val="0"/>
                  <w:vAlign w:val="center"/>
                </w:tcPr>
                <w:p>
                  <w:pPr>
                    <w:rPr>
                      <w:rFonts w:hint="eastAsia"/>
                    </w:rPr>
                  </w:pPr>
                  <w:r>
                    <w:rPr>
                      <w:rFonts w:hint="eastAsia"/>
                    </w:rPr>
                    <w:t>生产部</w:t>
                  </w:r>
                </w:p>
              </w:tc>
              <w:tc>
                <w:tcPr>
                  <w:tcW w:w="2126" w:type="dxa"/>
                  <w:noWrap w:val="0"/>
                  <w:vAlign w:val="center"/>
                </w:tcPr>
                <w:p>
                  <w:pPr>
                    <w:jc w:val="left"/>
                    <w:rPr>
                      <w:rFonts w:hint="eastAsia"/>
                    </w:rPr>
                  </w:pPr>
                  <w:r>
                    <w:rPr>
                      <w:rFonts w:hint="eastAsia"/>
                    </w:rPr>
                    <w:t>污染声环境</w:t>
                  </w:r>
                </w:p>
              </w:tc>
              <w:tc>
                <w:tcPr>
                  <w:tcW w:w="1276" w:type="dxa"/>
                  <w:noWrap w:val="0"/>
                  <w:vAlign w:val="center"/>
                </w:tcPr>
                <w:p>
                  <w:pPr>
                    <w:rPr>
                      <w:rFonts w:hint="eastAsia"/>
                    </w:rPr>
                  </w:pPr>
                  <w:r>
                    <w:rPr>
                      <w:rFonts w:hint="eastAsia"/>
                    </w:rPr>
                    <w:t>达标排放</w:t>
                  </w:r>
                </w:p>
              </w:tc>
              <w:tc>
                <w:tcPr>
                  <w:tcW w:w="2126" w:type="dxa"/>
                  <w:noWrap w:val="0"/>
                  <w:vAlign w:val="center"/>
                </w:tcPr>
                <w:p>
                  <w:pPr>
                    <w:rPr>
                      <w:rFonts w:hint="eastAsia"/>
                    </w:rPr>
                  </w:pPr>
                  <w:r>
                    <w:rPr>
                      <w:rFonts w:hint="eastAsia"/>
                    </w:rPr>
                    <w:t>加强设备维护管理，达标排放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47" w:type="dxa"/>
                  <w:noWrap w:val="0"/>
                  <w:vAlign w:val="center"/>
                </w:tcPr>
                <w:p>
                  <w:pPr>
                    <w:rPr>
                      <w:rFonts w:hint="eastAsia"/>
                    </w:rPr>
                  </w:pPr>
                  <w:r>
                    <w:rPr>
                      <w:rFonts w:hint="eastAsia"/>
                    </w:rPr>
                    <w:t>02</w:t>
                  </w:r>
                </w:p>
              </w:tc>
              <w:tc>
                <w:tcPr>
                  <w:tcW w:w="2438" w:type="dxa"/>
                  <w:noWrap w:val="0"/>
                  <w:vAlign w:val="center"/>
                </w:tcPr>
                <w:p>
                  <w:pPr>
                    <w:rPr>
                      <w:rFonts w:hint="eastAsia"/>
                    </w:rPr>
                  </w:pPr>
                  <w:r>
                    <w:rPr>
                      <w:rFonts w:hint="eastAsia"/>
                    </w:rPr>
                    <w:t>生产过程中粉尘废气的产生</w:t>
                  </w:r>
                </w:p>
              </w:tc>
              <w:tc>
                <w:tcPr>
                  <w:tcW w:w="1418" w:type="dxa"/>
                  <w:noWrap w:val="0"/>
                  <w:vAlign w:val="center"/>
                </w:tcPr>
                <w:p>
                  <w:pPr>
                    <w:rPr>
                      <w:rFonts w:hint="eastAsia"/>
                    </w:rPr>
                  </w:pPr>
                  <w:r>
                    <w:rPr>
                      <w:rFonts w:hint="eastAsia"/>
                    </w:rPr>
                    <w:t>生产部</w:t>
                  </w:r>
                </w:p>
              </w:tc>
              <w:tc>
                <w:tcPr>
                  <w:tcW w:w="2126" w:type="dxa"/>
                  <w:noWrap w:val="0"/>
                  <w:vAlign w:val="center"/>
                </w:tcPr>
                <w:p>
                  <w:pPr>
                    <w:jc w:val="left"/>
                    <w:rPr>
                      <w:rFonts w:hint="eastAsia"/>
                    </w:rPr>
                  </w:pPr>
                  <w:r>
                    <w:rPr>
                      <w:rFonts w:hint="eastAsia"/>
                    </w:rPr>
                    <w:t>人身健康、污染大气</w:t>
                  </w:r>
                </w:p>
              </w:tc>
              <w:tc>
                <w:tcPr>
                  <w:tcW w:w="1276" w:type="dxa"/>
                  <w:noWrap w:val="0"/>
                  <w:vAlign w:val="center"/>
                </w:tcPr>
                <w:p>
                  <w:pPr>
                    <w:rPr>
                      <w:rFonts w:hint="eastAsia"/>
                    </w:rPr>
                  </w:pPr>
                  <w:r>
                    <w:rPr>
                      <w:rFonts w:hint="eastAsia"/>
                    </w:rPr>
                    <w:t>达标排放</w:t>
                  </w:r>
                </w:p>
              </w:tc>
              <w:tc>
                <w:tcPr>
                  <w:tcW w:w="2126" w:type="dxa"/>
                  <w:noWrap w:val="0"/>
                  <w:vAlign w:val="center"/>
                </w:tcPr>
                <w:p>
                  <w:pPr>
                    <w:rPr>
                      <w:rFonts w:hint="eastAsia"/>
                    </w:rPr>
                  </w:pPr>
                  <w:r>
                    <w:rPr>
                      <w:rFonts w:hint="eastAsia"/>
                    </w:rPr>
                    <w:t>采用必要的通风、集尘措施和防护措施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7" w:type="dxa"/>
                  <w:noWrap w:val="0"/>
                  <w:vAlign w:val="center"/>
                </w:tcPr>
                <w:p>
                  <w:pPr>
                    <w:rPr>
                      <w:rFonts w:hint="eastAsia"/>
                    </w:rPr>
                  </w:pPr>
                  <w:r>
                    <w:rPr>
                      <w:rFonts w:hint="eastAsia"/>
                    </w:rPr>
                    <w:t>03</w:t>
                  </w:r>
                </w:p>
              </w:tc>
              <w:tc>
                <w:tcPr>
                  <w:tcW w:w="2438" w:type="dxa"/>
                  <w:noWrap w:val="0"/>
                  <w:vAlign w:val="center"/>
                </w:tcPr>
                <w:p>
                  <w:pPr>
                    <w:rPr>
                      <w:rFonts w:hint="eastAsia"/>
                    </w:rPr>
                  </w:pPr>
                  <w:r>
                    <w:rPr>
                      <w:rFonts w:hint="eastAsia"/>
                    </w:rPr>
                    <w:t>工作服、手套、工具、沉淀池渣、下脚料等固体废物的排放</w:t>
                  </w:r>
                </w:p>
              </w:tc>
              <w:tc>
                <w:tcPr>
                  <w:tcW w:w="1418" w:type="dxa"/>
                  <w:noWrap w:val="0"/>
                  <w:vAlign w:val="center"/>
                </w:tcPr>
                <w:p>
                  <w:pPr>
                    <w:rPr>
                      <w:rFonts w:hint="eastAsia"/>
                    </w:rPr>
                  </w:pPr>
                  <w:r>
                    <w:rPr>
                      <w:rFonts w:hint="eastAsia"/>
                    </w:rPr>
                    <w:t>各部门</w:t>
                  </w:r>
                </w:p>
              </w:tc>
              <w:tc>
                <w:tcPr>
                  <w:tcW w:w="2126" w:type="dxa"/>
                  <w:noWrap w:val="0"/>
                  <w:vAlign w:val="center"/>
                </w:tcPr>
                <w:p>
                  <w:pPr>
                    <w:jc w:val="left"/>
                    <w:rPr>
                      <w:rFonts w:hint="eastAsia"/>
                    </w:rPr>
                  </w:pPr>
                  <w:r>
                    <w:rPr>
                      <w:rFonts w:hint="eastAsia"/>
                    </w:rPr>
                    <w:t>污染土壤</w:t>
                  </w:r>
                </w:p>
              </w:tc>
              <w:tc>
                <w:tcPr>
                  <w:tcW w:w="1276" w:type="dxa"/>
                  <w:noWrap w:val="0"/>
                  <w:vAlign w:val="center"/>
                </w:tcPr>
                <w:p>
                  <w:pPr>
                    <w:rPr>
                      <w:rFonts w:hint="eastAsia"/>
                    </w:rPr>
                  </w:pPr>
                  <w:r>
                    <w:rPr>
                      <w:rFonts w:hint="eastAsia"/>
                    </w:rPr>
                    <w:t>分类分级</w:t>
                  </w:r>
                </w:p>
                <w:p>
                  <w:pPr>
                    <w:rPr>
                      <w:rFonts w:hint="eastAsia"/>
                    </w:rPr>
                  </w:pPr>
                  <w:r>
                    <w:rPr>
                      <w:rFonts w:hint="eastAsia"/>
                    </w:rPr>
                    <w:t>及时处理</w:t>
                  </w:r>
                </w:p>
              </w:tc>
              <w:tc>
                <w:tcPr>
                  <w:tcW w:w="2126" w:type="dxa"/>
                  <w:noWrap w:val="0"/>
                  <w:vAlign w:val="center"/>
                </w:tcPr>
                <w:p>
                  <w:pPr>
                    <w:rPr>
                      <w:rFonts w:hint="eastAsia"/>
                    </w:rPr>
                  </w:pPr>
                  <w:r>
                    <w:rPr>
                      <w:rFonts w:hint="eastAsia"/>
                    </w:rPr>
                    <w:t>分类分级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7" w:type="dxa"/>
                  <w:noWrap w:val="0"/>
                  <w:vAlign w:val="center"/>
                </w:tcPr>
                <w:p>
                  <w:pPr>
                    <w:rPr>
                      <w:rFonts w:hint="eastAsia"/>
                    </w:rPr>
                  </w:pPr>
                  <w:r>
                    <w:rPr>
                      <w:rFonts w:hint="eastAsia"/>
                    </w:rPr>
                    <w:t>04</w:t>
                  </w:r>
                </w:p>
              </w:tc>
              <w:tc>
                <w:tcPr>
                  <w:tcW w:w="2438" w:type="dxa"/>
                  <w:noWrap w:val="0"/>
                  <w:vAlign w:val="center"/>
                </w:tcPr>
                <w:p>
                  <w:pPr>
                    <w:rPr>
                      <w:rFonts w:hint="eastAsia"/>
                    </w:rPr>
                  </w:pPr>
                  <w:r>
                    <w:rPr>
                      <w:rFonts w:hint="eastAsia"/>
                    </w:rPr>
                    <w:t>生活和生产废水排放</w:t>
                  </w:r>
                </w:p>
              </w:tc>
              <w:tc>
                <w:tcPr>
                  <w:tcW w:w="1418" w:type="dxa"/>
                  <w:noWrap w:val="0"/>
                  <w:vAlign w:val="center"/>
                </w:tcPr>
                <w:p>
                  <w:pPr>
                    <w:rPr>
                      <w:rFonts w:hint="eastAsia"/>
                    </w:rPr>
                  </w:pPr>
                  <w:r>
                    <w:rPr>
                      <w:rFonts w:hint="eastAsia"/>
                    </w:rPr>
                    <w:t>各部门</w:t>
                  </w:r>
                </w:p>
              </w:tc>
              <w:tc>
                <w:tcPr>
                  <w:tcW w:w="2126" w:type="dxa"/>
                  <w:noWrap w:val="0"/>
                  <w:vAlign w:val="center"/>
                </w:tcPr>
                <w:p>
                  <w:pPr>
                    <w:jc w:val="left"/>
                    <w:rPr>
                      <w:rFonts w:hint="eastAsia"/>
                    </w:rPr>
                  </w:pPr>
                  <w:r>
                    <w:rPr>
                      <w:rFonts w:hint="eastAsia"/>
                    </w:rPr>
                    <w:t>污染水体</w:t>
                  </w:r>
                </w:p>
              </w:tc>
              <w:tc>
                <w:tcPr>
                  <w:tcW w:w="1276" w:type="dxa"/>
                  <w:noWrap w:val="0"/>
                  <w:vAlign w:val="center"/>
                </w:tcPr>
                <w:p>
                  <w:pPr>
                    <w:rPr>
                      <w:rFonts w:hint="eastAsia"/>
                    </w:rPr>
                  </w:pPr>
                  <w:r>
                    <w:rPr>
                      <w:rFonts w:hint="eastAsia"/>
                    </w:rPr>
                    <w:t>不对外排放</w:t>
                  </w:r>
                </w:p>
              </w:tc>
              <w:tc>
                <w:tcPr>
                  <w:tcW w:w="2126" w:type="dxa"/>
                  <w:noWrap w:val="0"/>
                  <w:vAlign w:val="center"/>
                </w:tcPr>
                <w:p>
                  <w:pPr>
                    <w:rPr>
                      <w:rFonts w:hint="eastAsia"/>
                    </w:rPr>
                  </w:pPr>
                  <w:r>
                    <w:rPr>
                      <w:rFonts w:hint="eastAsia"/>
                    </w:rPr>
                    <w:t>用于厂区绿化和生产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47" w:type="dxa"/>
                  <w:noWrap w:val="0"/>
                  <w:vAlign w:val="center"/>
                </w:tcPr>
                <w:p>
                  <w:pPr>
                    <w:rPr>
                      <w:rFonts w:hint="eastAsia"/>
                    </w:rPr>
                  </w:pPr>
                  <w:r>
                    <w:rPr>
                      <w:rFonts w:hint="eastAsia"/>
                    </w:rPr>
                    <w:t>05</w:t>
                  </w:r>
                </w:p>
              </w:tc>
              <w:tc>
                <w:tcPr>
                  <w:tcW w:w="2438" w:type="dxa"/>
                  <w:noWrap w:val="0"/>
                  <w:vAlign w:val="center"/>
                </w:tcPr>
                <w:p>
                  <w:pPr>
                    <w:rPr>
                      <w:rFonts w:hint="eastAsia"/>
                    </w:rPr>
                  </w:pPr>
                  <w:r>
                    <w:rPr>
                      <w:rFonts w:hint="eastAsia"/>
                    </w:rPr>
                    <w:t>化学品的泄漏</w:t>
                  </w:r>
                </w:p>
              </w:tc>
              <w:tc>
                <w:tcPr>
                  <w:tcW w:w="1418" w:type="dxa"/>
                  <w:noWrap w:val="0"/>
                  <w:vAlign w:val="center"/>
                </w:tcPr>
                <w:p>
                  <w:pPr>
                    <w:rPr>
                      <w:rFonts w:hint="eastAsia"/>
                    </w:rPr>
                  </w:pPr>
                  <w:r>
                    <w:rPr>
                      <w:rFonts w:hint="eastAsia"/>
                    </w:rPr>
                    <w:t>生产车间、仓库</w:t>
                  </w:r>
                </w:p>
              </w:tc>
              <w:tc>
                <w:tcPr>
                  <w:tcW w:w="2126" w:type="dxa"/>
                  <w:noWrap w:val="0"/>
                  <w:vAlign w:val="center"/>
                </w:tcPr>
                <w:p>
                  <w:pPr>
                    <w:jc w:val="left"/>
                    <w:rPr>
                      <w:rFonts w:hint="eastAsia"/>
                    </w:rPr>
                  </w:pPr>
                  <w:r>
                    <w:rPr>
                      <w:rFonts w:hint="eastAsia"/>
                    </w:rPr>
                    <w:t>污染土地、水体、危及健康</w:t>
                  </w:r>
                </w:p>
              </w:tc>
              <w:tc>
                <w:tcPr>
                  <w:tcW w:w="1276" w:type="dxa"/>
                  <w:noWrap w:val="0"/>
                  <w:vAlign w:val="center"/>
                </w:tcPr>
                <w:p>
                  <w:pPr>
                    <w:rPr>
                      <w:rFonts w:hint="eastAsia"/>
                    </w:rPr>
                  </w:pPr>
                  <w:r>
                    <w:rPr>
                      <w:rFonts w:hint="eastAsia"/>
                    </w:rPr>
                    <w:t>零目标</w:t>
                  </w:r>
                </w:p>
              </w:tc>
              <w:tc>
                <w:tcPr>
                  <w:tcW w:w="2126" w:type="dxa"/>
                  <w:noWrap w:val="0"/>
                  <w:vAlign w:val="center"/>
                </w:tcPr>
                <w:p>
                  <w:pPr>
                    <w:rPr>
                      <w:rFonts w:hint="eastAsia"/>
                    </w:rPr>
                  </w:pPr>
                  <w:r>
                    <w:rPr>
                      <w:rFonts w:hint="eastAsia"/>
                    </w:rPr>
                    <w:t>加强检查和使用过程中的管理。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47" w:type="dxa"/>
                  <w:noWrap w:val="0"/>
                  <w:vAlign w:val="center"/>
                </w:tcPr>
                <w:p>
                  <w:pPr>
                    <w:rPr>
                      <w:rFonts w:hint="eastAsia"/>
                    </w:rPr>
                  </w:pPr>
                  <w:r>
                    <w:rPr>
                      <w:rFonts w:hint="eastAsia"/>
                    </w:rPr>
                    <w:t>06</w:t>
                  </w:r>
                </w:p>
              </w:tc>
              <w:tc>
                <w:tcPr>
                  <w:tcW w:w="2438" w:type="dxa"/>
                  <w:noWrap w:val="0"/>
                  <w:vAlign w:val="center"/>
                </w:tcPr>
                <w:p>
                  <w:pPr>
                    <w:ind w:left="-105" w:leftChars="-50" w:right="-105" w:rightChars="-50"/>
                    <w:jc w:val="both"/>
                    <w:rPr>
                      <w:rFonts w:hint="eastAsia"/>
                    </w:rPr>
                  </w:pPr>
                  <w:r>
                    <w:rPr>
                      <w:rFonts w:hint="eastAsia"/>
                    </w:rPr>
                    <w:t>润滑油的跑冒滴漏</w:t>
                  </w:r>
                </w:p>
              </w:tc>
              <w:tc>
                <w:tcPr>
                  <w:tcW w:w="1418" w:type="dxa"/>
                  <w:noWrap w:val="0"/>
                  <w:vAlign w:val="center"/>
                </w:tcPr>
                <w:p>
                  <w:pPr>
                    <w:ind w:left="-105" w:leftChars="-50" w:right="-105" w:rightChars="-50"/>
                    <w:jc w:val="center"/>
                    <w:rPr>
                      <w:rFonts w:hint="eastAsia"/>
                    </w:rPr>
                  </w:pPr>
                  <w:r>
                    <w:rPr>
                      <w:rFonts w:hint="eastAsia"/>
                    </w:rPr>
                    <w:t>生产部</w:t>
                  </w:r>
                </w:p>
              </w:tc>
              <w:tc>
                <w:tcPr>
                  <w:tcW w:w="2126" w:type="dxa"/>
                  <w:noWrap w:val="0"/>
                  <w:vAlign w:val="center"/>
                </w:tcPr>
                <w:p>
                  <w:pPr>
                    <w:ind w:left="-105" w:leftChars="-50" w:right="-105" w:rightChars="-50"/>
                    <w:jc w:val="center"/>
                    <w:rPr>
                      <w:rFonts w:hint="eastAsia"/>
                    </w:rPr>
                  </w:pPr>
                  <w:r>
                    <w:rPr>
                      <w:rFonts w:hint="eastAsia"/>
                    </w:rPr>
                    <w:t>污染土壤水体</w:t>
                  </w:r>
                </w:p>
              </w:tc>
              <w:tc>
                <w:tcPr>
                  <w:tcW w:w="1276" w:type="dxa"/>
                  <w:noWrap w:val="0"/>
                  <w:vAlign w:val="center"/>
                </w:tcPr>
                <w:p>
                  <w:pPr>
                    <w:rPr>
                      <w:rFonts w:hint="eastAsia"/>
                    </w:rPr>
                  </w:pPr>
                  <w:r>
                    <w:rPr>
                      <w:rFonts w:hint="eastAsia"/>
                    </w:rPr>
                    <w:t>零目标</w:t>
                  </w:r>
                </w:p>
              </w:tc>
              <w:tc>
                <w:tcPr>
                  <w:tcW w:w="2126" w:type="dxa"/>
                  <w:noWrap w:val="0"/>
                  <w:vAlign w:val="center"/>
                </w:tcPr>
                <w:p>
                  <w:pPr>
                    <w:rPr>
                      <w:rFonts w:hint="eastAsia"/>
                    </w:rPr>
                  </w:pPr>
                  <w:r>
                    <w:rPr>
                      <w:rFonts w:hint="eastAsia"/>
                    </w:rPr>
                    <w:t>加强检查和使用过程中的管理。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7" w:type="dxa"/>
                  <w:noWrap w:val="0"/>
                  <w:vAlign w:val="center"/>
                </w:tcPr>
                <w:p>
                  <w:pPr>
                    <w:rPr>
                      <w:rFonts w:hint="eastAsia"/>
                    </w:rPr>
                  </w:pPr>
                  <w:r>
                    <w:rPr>
                      <w:rFonts w:hint="eastAsia"/>
                    </w:rPr>
                    <w:t>07</w:t>
                  </w:r>
                </w:p>
              </w:tc>
              <w:tc>
                <w:tcPr>
                  <w:tcW w:w="2438" w:type="dxa"/>
                  <w:noWrap w:val="0"/>
                  <w:vAlign w:val="center"/>
                </w:tcPr>
                <w:p>
                  <w:pPr>
                    <w:rPr>
                      <w:rFonts w:hint="eastAsia"/>
                    </w:rPr>
                  </w:pPr>
                  <w:r>
                    <w:rPr>
                      <w:rFonts w:hint="eastAsia"/>
                    </w:rPr>
                    <w:t>火灾事故的发生</w:t>
                  </w:r>
                </w:p>
              </w:tc>
              <w:tc>
                <w:tcPr>
                  <w:tcW w:w="1418" w:type="dxa"/>
                  <w:noWrap w:val="0"/>
                  <w:vAlign w:val="center"/>
                </w:tcPr>
                <w:p>
                  <w:pPr>
                    <w:rPr>
                      <w:rFonts w:hint="eastAsia"/>
                    </w:rPr>
                  </w:pPr>
                  <w:r>
                    <w:rPr>
                      <w:rFonts w:hint="eastAsia"/>
                    </w:rPr>
                    <w:t>各部门</w:t>
                  </w:r>
                </w:p>
              </w:tc>
              <w:tc>
                <w:tcPr>
                  <w:tcW w:w="2126" w:type="dxa"/>
                  <w:noWrap w:val="0"/>
                  <w:vAlign w:val="center"/>
                </w:tcPr>
                <w:p>
                  <w:pPr>
                    <w:jc w:val="left"/>
                    <w:rPr>
                      <w:rFonts w:hint="eastAsia"/>
                    </w:rPr>
                  </w:pPr>
                  <w:r>
                    <w:rPr>
                      <w:rFonts w:hint="eastAsia"/>
                    </w:rPr>
                    <w:t>污染大气、热量释放</w:t>
                  </w:r>
                </w:p>
              </w:tc>
              <w:tc>
                <w:tcPr>
                  <w:tcW w:w="1276" w:type="dxa"/>
                  <w:noWrap w:val="0"/>
                  <w:vAlign w:val="center"/>
                </w:tcPr>
                <w:p>
                  <w:pPr>
                    <w:rPr>
                      <w:rFonts w:hint="eastAsia"/>
                    </w:rPr>
                  </w:pPr>
                  <w:r>
                    <w:rPr>
                      <w:rFonts w:hint="eastAsia"/>
                    </w:rPr>
                    <w:t>零目标</w:t>
                  </w:r>
                </w:p>
              </w:tc>
              <w:tc>
                <w:tcPr>
                  <w:tcW w:w="2126" w:type="dxa"/>
                  <w:noWrap w:val="0"/>
                  <w:vAlign w:val="center"/>
                </w:tcPr>
                <w:p>
                  <w:pPr>
                    <w:rPr>
                      <w:rFonts w:hint="eastAsia"/>
                    </w:rPr>
                  </w:pPr>
                  <w:r>
                    <w:rPr>
                      <w:rFonts w:hint="eastAsia"/>
                    </w:rPr>
                    <w:t>应急预案</w:t>
                  </w:r>
                </w:p>
              </w:tc>
            </w:tr>
          </w:tbl>
          <w:p>
            <w:pPr>
              <w:tabs>
                <w:tab w:val="left" w:pos="6597"/>
              </w:tabs>
              <w:spacing w:line="360" w:lineRule="auto"/>
              <w:ind w:firstLine="420" w:firstLineChars="200"/>
              <w:rPr>
                <w:rFonts w:ascii="楷体" w:hAnsi="楷体" w:eastAsia="楷体" w:cs="楷体"/>
                <w:sz w:val="24"/>
                <w:szCs w:val="24"/>
              </w:rPr>
            </w:pPr>
            <w:r>
              <w:rPr>
                <w:rFonts w:hint="eastAsia"/>
              </w:rPr>
              <w:t>编制：</w:t>
            </w:r>
            <w:r>
              <w:rPr>
                <w:rFonts w:hint="eastAsia"/>
                <w:lang w:eastAsia="zh-CN"/>
              </w:rPr>
              <w:t>赵媛媛</w:t>
            </w:r>
            <w:r>
              <w:rPr>
                <w:rFonts w:hint="eastAsia"/>
              </w:rPr>
              <w:t xml:space="preserve">  </w:t>
            </w:r>
            <w:r>
              <w:rPr>
                <w:rFonts w:hint="eastAsia"/>
              </w:rPr>
              <w:t>　　　审核：庞向军　　　　批准：</w:t>
            </w:r>
            <w:r>
              <w:rPr>
                <w:rFonts w:hint="eastAsia"/>
                <w:lang w:eastAsia="zh-CN"/>
              </w:rPr>
              <w:t>杨雷</w:t>
            </w:r>
            <w:r>
              <w:rPr>
                <w:rFonts w:hint="eastAsia"/>
              </w:rPr>
              <w:t>　　　日期：20</w:t>
            </w:r>
            <w:r>
              <w:rPr>
                <w:rFonts w:hint="eastAsia"/>
                <w:lang w:val="en-US" w:eastAsia="zh-CN"/>
              </w:rPr>
              <w:t>21</w:t>
            </w:r>
            <w:r>
              <w:rPr>
                <w:rFonts w:hint="eastAsia"/>
              </w:rPr>
              <w:t>.3.10</w:t>
            </w:r>
          </w:p>
          <w:p>
            <w:pPr>
              <w:spacing w:line="360" w:lineRule="auto"/>
              <w:ind w:firstLine="420" w:firstLineChars="200"/>
              <w:rPr>
                <w:color w:val="000000" w:themeColor="text1"/>
                <w:szCs w:val="22"/>
              </w:rPr>
            </w:pPr>
            <w:r>
              <w:rPr>
                <w:rFonts w:hint="eastAsia"/>
                <w:color w:val="000000" w:themeColor="text1"/>
                <w:szCs w:val="22"/>
              </w:rPr>
              <w:t>查综合办环境因素识别情况：识别了办公过程的如下环境因素：办公过程中的水电消耗、纸张使用、废办公设备排放、生活垃圾排放、火灾等。</w:t>
            </w:r>
          </w:p>
          <w:p>
            <w:pPr>
              <w:spacing w:line="360" w:lineRule="auto"/>
              <w:ind w:firstLine="420" w:firstLineChars="200"/>
              <w:rPr>
                <w:color w:val="000000" w:themeColor="text1"/>
                <w:szCs w:val="22"/>
              </w:rPr>
            </w:pPr>
            <w:r>
              <w:rPr>
                <w:rFonts w:hint="eastAsia"/>
                <w:color w:val="000000" w:themeColor="text1"/>
                <w:szCs w:val="22"/>
              </w:rPr>
              <w:t>涉及综合办的重要环境因素有3项：办公活动过程中的火灾、生活废水及固废排放。</w:t>
            </w:r>
          </w:p>
          <w:p>
            <w:pPr>
              <w:spacing w:line="360" w:lineRule="auto"/>
              <w:rPr>
                <w:rFonts w:ascii="宋体" w:hAnsi="宋体" w:cs="宋体"/>
                <w:color w:val="000000" w:themeColor="text1"/>
                <w:szCs w:val="21"/>
                <w:lang w:bidi="ar"/>
              </w:rPr>
            </w:pPr>
            <w:r>
              <w:rPr>
                <w:rFonts w:hint="eastAsia"/>
                <w:color w:val="000000" w:themeColor="text1"/>
                <w:szCs w:val="22"/>
              </w:rPr>
              <w:t>对于重要环境因素的控制，通过日常检查、目标、管理方案、运行控制、应急预案等控制方式，各部门的运行控制情况见各部门审核记录。</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jc w:val="center"/>
              <w:rPr>
                <w:color w:val="000000" w:themeColor="text1"/>
                <w:szCs w:val="22"/>
              </w:rPr>
            </w:pPr>
            <w:r>
              <w:rPr>
                <w:rFonts w:hint="eastAsia"/>
                <w:color w:val="000000" w:themeColor="text1"/>
                <w:szCs w:val="22"/>
              </w:rPr>
              <w:t>合规义务</w:t>
            </w:r>
          </w:p>
          <w:p>
            <w:pPr>
              <w:spacing w:line="360" w:lineRule="auto"/>
              <w:jc w:val="center"/>
              <w:rPr>
                <w:color w:val="000000" w:themeColor="text1"/>
                <w:szCs w:val="22"/>
              </w:rPr>
            </w:pPr>
            <w:r>
              <w:rPr>
                <w:rFonts w:hint="eastAsia"/>
                <w:color w:val="000000" w:themeColor="text1"/>
                <w:szCs w:val="22"/>
              </w:rPr>
              <w:t>合规性评价</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E6.1.3</w:t>
            </w:r>
          </w:p>
          <w:p>
            <w:pPr>
              <w:spacing w:line="360" w:lineRule="auto"/>
              <w:rPr>
                <w:color w:val="000000" w:themeColor="text1"/>
                <w:szCs w:val="22"/>
              </w:rPr>
            </w:pPr>
            <w:r>
              <w:rPr>
                <w:rFonts w:hint="eastAsia"/>
                <w:color w:val="000000" w:themeColor="text1"/>
                <w:szCs w:val="22"/>
              </w:rPr>
              <w:t>E9.1.2</w:t>
            </w:r>
          </w:p>
        </w:tc>
        <w:tc>
          <w:tcPr>
            <w:tcW w:w="11591" w:type="dxa"/>
            <w:vAlign w:val="center"/>
          </w:tcPr>
          <w:p>
            <w:pPr>
              <w:spacing w:line="360" w:lineRule="auto"/>
              <w:rPr>
                <w:color w:val="000000" w:themeColor="text1"/>
                <w:szCs w:val="22"/>
              </w:rPr>
            </w:pPr>
            <w:r>
              <w:rPr>
                <w:rFonts w:hint="eastAsia"/>
                <w:color w:val="000000" w:themeColor="text1"/>
                <w:szCs w:val="22"/>
              </w:rPr>
              <w:t>建立实施了《法律法规及其他要求控制程序》。</w:t>
            </w:r>
          </w:p>
          <w:p>
            <w:pPr>
              <w:spacing w:line="360" w:lineRule="auto"/>
              <w:ind w:firstLine="420" w:firstLineChars="200"/>
              <w:rPr>
                <w:color w:val="000000" w:themeColor="text1"/>
                <w:szCs w:val="22"/>
              </w:rPr>
            </w:pPr>
            <w:r>
              <w:rPr>
                <w:rFonts w:hint="eastAsia"/>
                <w:color w:val="000000" w:themeColor="text1"/>
                <w:szCs w:val="22"/>
              </w:rPr>
              <w:t>提供了“适用的法律、法规及其他要求清单”，包含了27个环境法律法规、标准和其他要求。如中华人民共和国环境保护法、中华人民共和国消防法、中华人民共和国环境影响评价法、中华人民共和国水污染防治法、陕西省消防条例、陕西省咸阳市防治环境污染设施监督管理办法等。</w:t>
            </w:r>
          </w:p>
          <w:p>
            <w:pPr>
              <w:spacing w:line="360" w:lineRule="auto"/>
              <w:ind w:firstLine="420" w:firstLineChars="200"/>
              <w:rPr>
                <w:color w:val="000000" w:themeColor="text1"/>
                <w:szCs w:val="22"/>
              </w:rPr>
            </w:pPr>
            <w:r>
              <w:rPr>
                <w:rFonts w:hint="eastAsia"/>
                <w:color w:val="000000" w:themeColor="text1"/>
                <w:szCs w:val="22"/>
              </w:rPr>
              <w:t>综合办根据需要随时网上获取、识别更新，并通过培训、宣传、会议等形式传达给员工和相关方，各部门如有需要随时到综合办查阅。</w:t>
            </w:r>
          </w:p>
          <w:p>
            <w:pPr>
              <w:spacing w:line="360" w:lineRule="auto"/>
              <w:ind w:firstLine="420" w:firstLineChars="200"/>
              <w:rPr>
                <w:color w:val="000000" w:themeColor="text1"/>
                <w:szCs w:val="22"/>
              </w:rPr>
            </w:pPr>
            <w:r>
              <w:rPr>
                <w:rFonts w:hint="eastAsia"/>
                <w:color w:val="000000" w:themeColor="text1"/>
                <w:szCs w:val="22"/>
              </w:rPr>
              <w:t>现场提供了“环境合规性评价表”,对公司的废水：清洗地面、生产和生活废水、固废：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ascii="楷体" w:hAnsi="楷体" w:eastAsia="楷体" w:cs="楷体"/>
                <w:sz w:val="24"/>
                <w:szCs w:val="24"/>
              </w:rPr>
            </w:pPr>
            <w:r>
              <w:rPr>
                <w:rFonts w:hint="eastAsia"/>
                <w:color w:val="000000" w:themeColor="text1"/>
                <w:szCs w:val="22"/>
              </w:rPr>
              <w:t>评价人：庞向军 王毅 批准：任国强</w:t>
            </w:r>
            <w:r>
              <w:rPr>
                <w:rFonts w:hint="eastAsia"/>
                <w:color w:val="0000FF"/>
                <w:szCs w:val="22"/>
              </w:rPr>
              <w:t>，</w:t>
            </w:r>
            <w:r>
              <w:rPr>
                <w:rFonts w:hint="eastAsia"/>
                <w:szCs w:val="22"/>
              </w:rPr>
              <w:t>日期：202</w:t>
            </w:r>
            <w:r>
              <w:rPr>
                <w:rFonts w:hint="eastAsia"/>
                <w:szCs w:val="22"/>
                <w:lang w:val="en-US" w:eastAsia="zh-CN"/>
              </w:rPr>
              <w:t>1</w:t>
            </w:r>
            <w:r>
              <w:rPr>
                <w:rFonts w:hint="eastAsia"/>
                <w:szCs w:val="22"/>
              </w:rPr>
              <w:t>年3月10日。</w:t>
            </w:r>
          </w:p>
        </w:tc>
        <w:tc>
          <w:tcPr>
            <w:tcW w:w="542" w:type="dxa"/>
          </w:tcP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ind w:firstLine="210" w:firstLineChars="100"/>
              <w:rPr>
                <w:szCs w:val="22"/>
              </w:rPr>
            </w:pPr>
            <w:r>
              <w:rPr>
                <w:rFonts w:hint="eastAsia"/>
                <w:szCs w:val="22"/>
              </w:rPr>
              <w:t>措施的策划</w:t>
            </w:r>
          </w:p>
        </w:tc>
        <w:tc>
          <w:tcPr>
            <w:tcW w:w="968" w:type="dxa"/>
          </w:tcPr>
          <w:p>
            <w:pPr>
              <w:rPr>
                <w:szCs w:val="22"/>
              </w:rPr>
            </w:pPr>
          </w:p>
          <w:p>
            <w:pPr>
              <w:rPr>
                <w:szCs w:val="22"/>
              </w:rPr>
            </w:pPr>
          </w:p>
          <w:p>
            <w:pPr>
              <w:rPr>
                <w:szCs w:val="22"/>
              </w:rPr>
            </w:pPr>
          </w:p>
          <w:p>
            <w:pPr>
              <w:rPr>
                <w:szCs w:val="22"/>
              </w:rPr>
            </w:pPr>
            <w:r>
              <w:rPr>
                <w:rFonts w:hint="eastAsia"/>
                <w:szCs w:val="22"/>
              </w:rPr>
              <w:t>E6.1.4</w:t>
            </w:r>
          </w:p>
        </w:tc>
        <w:tc>
          <w:tcPr>
            <w:tcW w:w="11591" w:type="dxa"/>
            <w:vAlign w:val="center"/>
          </w:tcPr>
          <w:p>
            <w:pPr>
              <w:spacing w:line="360" w:lineRule="auto"/>
              <w:ind w:firstLine="420" w:firstLineChars="200"/>
              <w:rPr>
                <w:color w:val="000000" w:themeColor="text1"/>
                <w:szCs w:val="22"/>
              </w:rPr>
            </w:pPr>
            <w:r>
              <w:rPr>
                <w:rFonts w:hint="eastAsia"/>
                <w:color w:val="000000" w:themeColor="text1"/>
                <w:szCs w:val="22"/>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color w:val="000000" w:themeColor="text1"/>
                <w:szCs w:val="22"/>
              </w:rPr>
            </w:pPr>
            <w:r>
              <w:rPr>
                <w:rFonts w:hint="eastAsia"/>
                <w:color w:val="000000" w:themeColor="text1"/>
                <w:szCs w:val="22"/>
              </w:rPr>
              <w:t>制定了《法律、法规和其他要求控制程序》、《合规性评价控制程序》，每年对公司适用的合规义务进行识别更新并定期评价、检查。</w:t>
            </w:r>
          </w:p>
          <w:p>
            <w:pPr>
              <w:spacing w:line="360" w:lineRule="auto"/>
              <w:ind w:firstLine="420" w:firstLineChars="200"/>
              <w:rPr>
                <w:szCs w:val="22"/>
              </w:rPr>
            </w:pPr>
            <w:r>
              <w:rPr>
                <w:rFonts w:hint="eastAsia"/>
                <w:color w:val="000000" w:themeColor="text1"/>
                <w:szCs w:val="22"/>
              </w:rPr>
              <w:t>经组织评价，组织策划的措施基本能够满足风险和机遇应对需要，与潜在影响相适应，基本满足标准要求。</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08" w:type="dxa"/>
          </w:tcPr>
          <w:p>
            <w:pPr>
              <w:rPr>
                <w:szCs w:val="22"/>
              </w:rPr>
            </w:pPr>
          </w:p>
          <w:p>
            <w:pPr>
              <w:ind w:firstLine="420" w:firstLineChars="200"/>
              <w:rPr>
                <w:szCs w:val="22"/>
              </w:rPr>
            </w:pPr>
          </w:p>
          <w:p>
            <w:pPr>
              <w:ind w:firstLine="420" w:firstLineChars="200"/>
              <w:rPr>
                <w:szCs w:val="22"/>
              </w:rPr>
            </w:pPr>
          </w:p>
          <w:p>
            <w:pPr>
              <w:ind w:firstLine="420" w:firstLineChars="200"/>
            </w:pPr>
            <w:r>
              <w:rPr>
                <w:rFonts w:hint="eastAsia"/>
                <w:szCs w:val="22"/>
              </w:rPr>
              <w:t>能力、意识</w:t>
            </w:r>
          </w:p>
        </w:tc>
        <w:tc>
          <w:tcPr>
            <w:tcW w:w="968" w:type="dxa"/>
          </w:tcPr>
          <w:p>
            <w:pPr>
              <w:rPr>
                <w:szCs w:val="22"/>
              </w:rPr>
            </w:pPr>
          </w:p>
          <w:p>
            <w:pPr>
              <w:ind w:firstLine="210" w:firstLineChars="100"/>
              <w:rPr>
                <w:szCs w:val="22"/>
              </w:rPr>
            </w:pPr>
          </w:p>
          <w:p>
            <w:pPr>
              <w:ind w:firstLine="210" w:firstLineChars="100"/>
              <w:rPr>
                <w:szCs w:val="22"/>
              </w:rPr>
            </w:pPr>
          </w:p>
          <w:p>
            <w:pPr>
              <w:ind w:firstLine="210" w:firstLineChars="100"/>
              <w:rPr>
                <w:szCs w:val="22"/>
              </w:rPr>
            </w:pPr>
            <w:r>
              <w:rPr>
                <w:rFonts w:hint="eastAsia"/>
                <w:szCs w:val="22"/>
              </w:rPr>
              <w:t>7.2</w:t>
            </w:r>
          </w:p>
          <w:p>
            <w:pPr>
              <w:ind w:firstLine="210" w:firstLineChars="100"/>
            </w:pPr>
            <w:r>
              <w:rPr>
                <w:rFonts w:hint="eastAsia"/>
                <w:szCs w:val="22"/>
              </w:rPr>
              <w:t>7.3</w:t>
            </w:r>
          </w:p>
        </w:tc>
        <w:tc>
          <w:tcPr>
            <w:tcW w:w="11591" w:type="dxa"/>
          </w:tcPr>
          <w:p>
            <w:pPr>
              <w:spacing w:line="360" w:lineRule="auto"/>
              <w:ind w:firstLine="420" w:firstLineChars="200"/>
              <w:rPr>
                <w:rFonts w:ascii="宋体" w:hAnsi="宋体"/>
                <w:szCs w:val="21"/>
              </w:rPr>
            </w:pPr>
            <w:r>
              <w:rPr>
                <w:rFonts w:hint="eastAsia" w:ascii="宋体" w:hAnsi="宋体"/>
                <w:szCs w:val="21"/>
              </w:rPr>
              <w:t>公司制定了《岗位人员任职要求》，对各部门领导层、生产部（成员）、销售部、采购部、财务部 、技术部、品质部负责人岗位能力工作权限与内容、任职资格（经验知识个人素质、专业技能）的等作出了规定。</w:t>
            </w:r>
          </w:p>
          <w:p>
            <w:pPr>
              <w:spacing w:line="360" w:lineRule="auto"/>
              <w:ind w:firstLine="420" w:firstLineChars="200"/>
              <w:rPr>
                <w:rFonts w:ascii="宋体" w:hAnsi="宋体"/>
                <w:szCs w:val="21"/>
              </w:rPr>
            </w:pPr>
            <w:r>
              <w:rPr>
                <w:rFonts w:hint="eastAsia" w:ascii="宋体" w:hAnsi="宋体"/>
                <w:szCs w:val="21"/>
              </w:rPr>
              <w:t>查看《员工任职能力评价表》，其中包括：总经理、管代、各部门负责人等。能够满足公司环境管理体系运行以及体系覆盖产品生产和服务的需求。</w:t>
            </w:r>
          </w:p>
          <w:p>
            <w:pPr>
              <w:spacing w:line="360" w:lineRule="auto"/>
              <w:ind w:firstLine="420" w:firstLineChars="200"/>
              <w:rPr>
                <w:rFonts w:ascii="宋体" w:hAnsi="宋体"/>
                <w:szCs w:val="21"/>
              </w:rPr>
            </w:pPr>
            <w:r>
              <w:rPr>
                <w:rFonts w:hint="eastAsia" w:ascii="宋体" w:hAnsi="宋体"/>
                <w:szCs w:val="21"/>
              </w:rPr>
              <w:t>查看202</w:t>
            </w:r>
            <w:r>
              <w:rPr>
                <w:rFonts w:hint="eastAsia" w:ascii="宋体" w:hAnsi="宋体"/>
                <w:szCs w:val="21"/>
                <w:lang w:val="en-US" w:eastAsia="zh-CN"/>
              </w:rPr>
              <w:t>1</w:t>
            </w:r>
            <w:r>
              <w:rPr>
                <w:rFonts w:hint="eastAsia" w:ascii="宋体" w:hAnsi="宋体"/>
                <w:szCs w:val="21"/>
              </w:rPr>
              <w:t>年培训计划表，内容包括：环境、安全基础知识培训、GB/T24001标准各条款详解、环境因素识别、危险源辨别培训、管理方针、目标及管理方案等培训，查培训记录、参加培训人员、培训方式、内容、考核方式等内容，显示安排标准、管理手册和程序、法律法规和其他要求、方针、危险源、环境因素和关键特殊施工过程控制等培训。</w:t>
            </w:r>
          </w:p>
          <w:p>
            <w:pPr>
              <w:spacing w:line="360" w:lineRule="auto"/>
              <w:ind w:firstLine="420" w:firstLineChars="200"/>
              <w:rPr>
                <w:rFonts w:ascii="宋体" w:hAnsi="宋体"/>
                <w:szCs w:val="21"/>
              </w:rPr>
            </w:pPr>
            <w:r>
              <w:rPr>
                <w:rFonts w:hint="eastAsia" w:ascii="宋体" w:hAnsi="宋体"/>
                <w:szCs w:val="21"/>
              </w:rPr>
              <w:t>抽1：202</w:t>
            </w:r>
            <w:r>
              <w:rPr>
                <w:rFonts w:hint="eastAsia" w:ascii="宋体" w:hAnsi="宋体"/>
                <w:szCs w:val="21"/>
                <w:lang w:val="en-US" w:eastAsia="zh-CN"/>
              </w:rPr>
              <w:t>1</w:t>
            </w:r>
            <w:r>
              <w:rPr>
                <w:rFonts w:hint="eastAsia" w:ascii="宋体" w:hAnsi="宋体"/>
                <w:szCs w:val="21"/>
              </w:rPr>
              <w:t>年4月16日在会议室进行了《关于工厂内环保措施教程授课》培训，参加人员：生产车间员工等20人；培训效果评价，达到预期效果。评价人：庞向军 。</w:t>
            </w:r>
          </w:p>
          <w:p>
            <w:pPr>
              <w:spacing w:line="360" w:lineRule="auto"/>
              <w:ind w:firstLine="420" w:firstLineChars="200"/>
              <w:rPr>
                <w:rFonts w:ascii="宋体" w:hAnsi="宋体"/>
                <w:szCs w:val="21"/>
              </w:rPr>
            </w:pPr>
            <w:r>
              <w:rPr>
                <w:rFonts w:hint="eastAsia" w:ascii="宋体" w:hAnsi="宋体"/>
                <w:szCs w:val="21"/>
              </w:rPr>
              <w:t>抽2：202</w:t>
            </w:r>
            <w:r>
              <w:rPr>
                <w:rFonts w:hint="eastAsia" w:ascii="宋体" w:hAnsi="宋体"/>
                <w:szCs w:val="21"/>
                <w:lang w:val="en-US" w:eastAsia="zh-CN"/>
              </w:rPr>
              <w:t>1</w:t>
            </w:r>
            <w:r>
              <w:rPr>
                <w:rFonts w:hint="eastAsia" w:ascii="宋体" w:hAnsi="宋体"/>
                <w:szCs w:val="21"/>
              </w:rPr>
              <w:t>年6月22日 进行《中层以上手册和程序文件、应急、环保意识》培训，参加人员：中层以上员工20余人；培训效果评价，达到预期效果。评价人：庞向军。</w:t>
            </w:r>
          </w:p>
          <w:p>
            <w:pPr>
              <w:spacing w:line="360" w:lineRule="auto"/>
              <w:ind w:firstLine="420" w:firstLineChars="200"/>
              <w:rPr>
                <w:rFonts w:ascii="宋体" w:hAnsi="宋体"/>
                <w:szCs w:val="21"/>
              </w:rPr>
            </w:pPr>
            <w:r>
              <w:rPr>
                <w:rFonts w:hint="eastAsia" w:ascii="宋体" w:hAnsi="宋体"/>
                <w:szCs w:val="21"/>
              </w:rPr>
              <w:t>提供相应的培训记录，及人员签到表和培训效果评价。</w:t>
            </w:r>
          </w:p>
          <w:p>
            <w:pPr>
              <w:spacing w:line="360" w:lineRule="auto"/>
              <w:ind w:firstLine="420" w:firstLineChars="200"/>
              <w:rPr>
                <w:rFonts w:ascii="宋体" w:hAnsi="宋体"/>
                <w:szCs w:val="21"/>
              </w:rPr>
            </w:pPr>
            <w:r>
              <w:rPr>
                <w:rFonts w:hint="eastAsia" w:ascii="宋体" w:hAnsi="宋体"/>
                <w:szCs w:val="21"/>
              </w:rPr>
              <w:t>无特种作业人员。人力资源控制基本满足要求。</w:t>
            </w:r>
          </w:p>
          <w:p>
            <w:pPr>
              <w:spacing w:line="360" w:lineRule="auto"/>
              <w:ind w:firstLine="420" w:firstLineChars="200"/>
              <w:rPr>
                <w:rFonts w:ascii="宋体" w:hAnsi="宋体"/>
                <w:szCs w:val="21"/>
              </w:rPr>
            </w:pPr>
            <w:r>
              <w:rPr>
                <w:rFonts w:hint="eastAsia" w:ascii="宋体" w:hAnsi="宋体"/>
                <w:szCs w:val="21"/>
              </w:rPr>
              <w:t>庞向军</w:t>
            </w:r>
            <w:r>
              <w:rPr>
                <w:rFonts w:hint="eastAsia"/>
                <w:color w:val="000000" w:themeColor="text1"/>
              </w:rPr>
              <w:t>部长</w:t>
            </w:r>
            <w:r>
              <w:rPr>
                <w:rFonts w:hint="eastAsia" w:ascii="宋体" w:hAnsi="宋体"/>
                <w:szCs w:val="21"/>
              </w:rPr>
              <w:t>介绍到通过培训、面谈等沟通方式，提高了员工的素质，增强了员工的环保意识，员工认识到了自身贡献的重要性，目前公司人员比较稳定，人员没有变化。</w:t>
            </w:r>
          </w:p>
          <w:p>
            <w:pPr>
              <w:spacing w:line="360" w:lineRule="auto"/>
              <w:rPr>
                <w:rFonts w:ascii="宋体" w:hAnsi="宋体"/>
                <w:szCs w:val="21"/>
              </w:rPr>
            </w:pPr>
            <w:r>
              <w:rPr>
                <w:rFonts w:hint="eastAsia" w:ascii="宋体" w:hAnsi="宋体"/>
                <w:szCs w:val="21"/>
              </w:rPr>
              <w:t>企业已对人力资源的管理、控制进行了策划，并已实施控制，针对体系文件的系统学习进行了交流。</w:t>
            </w:r>
          </w:p>
        </w:tc>
        <w:tc>
          <w:tcPr>
            <w:tcW w:w="542" w:type="dxa"/>
          </w:tcPr>
          <w:p/>
          <w:p/>
          <w:p/>
          <w:p/>
          <w:p/>
          <w:p/>
          <w:p/>
          <w:p/>
          <w:p/>
          <w:p/>
          <w:p/>
          <w:p/>
          <w:p/>
          <w:p/>
          <w:p/>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8" w:type="dxa"/>
          </w:tcPr>
          <w:p>
            <w:pPr>
              <w:rPr>
                <w:szCs w:val="22"/>
              </w:rPr>
            </w:pPr>
          </w:p>
          <w:p>
            <w:pPr>
              <w:rPr>
                <w:szCs w:val="22"/>
              </w:rPr>
            </w:pPr>
          </w:p>
          <w:p>
            <w:pPr>
              <w:rPr>
                <w:szCs w:val="22"/>
              </w:rPr>
            </w:pPr>
            <w:r>
              <w:rPr>
                <w:rFonts w:hint="eastAsia"/>
                <w:szCs w:val="22"/>
              </w:rPr>
              <w:t>形成文件的信息总则</w:t>
            </w:r>
          </w:p>
        </w:tc>
        <w:tc>
          <w:tcPr>
            <w:tcW w:w="968" w:type="dxa"/>
          </w:tcPr>
          <w:p>
            <w:pPr>
              <w:rPr>
                <w:szCs w:val="22"/>
              </w:rPr>
            </w:pPr>
          </w:p>
          <w:p>
            <w:pPr>
              <w:rPr>
                <w:szCs w:val="22"/>
              </w:rPr>
            </w:pPr>
          </w:p>
          <w:p>
            <w:pPr>
              <w:rPr>
                <w:szCs w:val="22"/>
              </w:rPr>
            </w:pPr>
            <w:r>
              <w:rPr>
                <w:rFonts w:hint="eastAsia"/>
                <w:szCs w:val="22"/>
              </w:rPr>
              <w:t>7.5.1</w:t>
            </w:r>
          </w:p>
          <w:p>
            <w:pPr>
              <w:rPr>
                <w:szCs w:val="22"/>
              </w:rPr>
            </w:pPr>
          </w:p>
        </w:tc>
        <w:tc>
          <w:tcPr>
            <w:tcW w:w="11591" w:type="dxa"/>
          </w:tcPr>
          <w:p>
            <w:pPr>
              <w:spacing w:line="360" w:lineRule="auto"/>
              <w:rPr>
                <w:rFonts w:ascii="宋体" w:hAnsi="宋体"/>
                <w:szCs w:val="21"/>
              </w:rPr>
            </w:pPr>
            <w:r>
              <w:rPr>
                <w:rFonts w:hint="eastAsia" w:ascii="宋体" w:hAnsi="宋体"/>
                <w:szCs w:val="21"/>
              </w:rPr>
              <w:t>庞向军</w:t>
            </w:r>
            <w:r>
              <w:rPr>
                <w:rFonts w:hint="eastAsia"/>
                <w:color w:val="000000" w:themeColor="text1"/>
              </w:rPr>
              <w:t>部长</w:t>
            </w:r>
            <w:r>
              <w:rPr>
                <w:rFonts w:hint="eastAsia" w:ascii="宋体" w:hAnsi="宋体"/>
                <w:szCs w:val="21"/>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ascii="宋体" w:hAnsi="宋体"/>
                <w:szCs w:val="21"/>
              </w:rPr>
            </w:pPr>
            <w:r>
              <w:rPr>
                <w:rFonts w:hint="eastAsia" w:ascii="宋体" w:hAnsi="宋体"/>
                <w:szCs w:val="21"/>
              </w:rPr>
              <w:t>1）在企业管理手册、程序文件中包括了：管理方针、体系覆盖范围的描述、管理目标、主要要素、过程及其相互作用的描述，以及相关文件查询途径。</w:t>
            </w:r>
          </w:p>
          <w:p>
            <w:pPr>
              <w:spacing w:line="360" w:lineRule="auto"/>
              <w:rPr>
                <w:rFonts w:ascii="宋体" w:hAnsi="宋体"/>
                <w:szCs w:val="21"/>
              </w:rPr>
            </w:pPr>
            <w:r>
              <w:rPr>
                <w:rFonts w:hint="eastAsia" w:ascii="宋体" w:hAnsi="宋体"/>
                <w:szCs w:val="21"/>
              </w:rPr>
              <w:t>2）编制了涉及质量、安全、环境体系过程所需体系有效运行所需管理制度；</w:t>
            </w:r>
          </w:p>
          <w:p>
            <w:pPr>
              <w:spacing w:line="360" w:lineRule="auto"/>
              <w:rPr>
                <w:rFonts w:ascii="宋体" w:hAnsi="宋体"/>
                <w:szCs w:val="21"/>
              </w:rPr>
            </w:pPr>
            <w:r>
              <w:rPr>
                <w:rFonts w:hint="eastAsia" w:ascii="宋体" w:hAnsi="宋体"/>
                <w:szCs w:val="21"/>
              </w:rPr>
              <w:t>3）收集了有关外来文件；</w:t>
            </w:r>
          </w:p>
          <w:p>
            <w:pPr>
              <w:spacing w:line="360" w:lineRule="auto"/>
              <w:rPr>
                <w:rFonts w:ascii="宋体" w:hAnsi="宋体"/>
                <w:szCs w:val="21"/>
              </w:rPr>
            </w:pPr>
            <w:r>
              <w:rPr>
                <w:rFonts w:hint="eastAsia" w:ascii="宋体" w:hAnsi="宋体"/>
                <w:szCs w:val="21"/>
              </w:rPr>
              <w:t>4）策划了有关体系运行的记录。</w:t>
            </w:r>
          </w:p>
          <w:p>
            <w:pPr>
              <w:spacing w:line="360" w:lineRule="auto"/>
              <w:rPr>
                <w:rFonts w:ascii="宋体" w:hAnsi="宋体"/>
                <w:color w:val="0000FF"/>
                <w:szCs w:val="21"/>
              </w:rPr>
            </w:pPr>
            <w:r>
              <w:rPr>
                <w:rFonts w:hint="eastAsia" w:ascii="宋体" w:hAnsi="宋体"/>
                <w:szCs w:val="21"/>
              </w:rPr>
              <w:t>企业编制了以上文件经王斌批准，于2019年3月1日发布实施。202</w:t>
            </w:r>
            <w:r>
              <w:rPr>
                <w:rFonts w:hint="eastAsia" w:ascii="宋体" w:hAnsi="宋体"/>
                <w:szCs w:val="21"/>
                <w:lang w:val="en-US" w:eastAsia="zh-CN"/>
              </w:rPr>
              <w:t>0</w:t>
            </w:r>
            <w:r>
              <w:rPr>
                <w:rFonts w:hint="eastAsia" w:ascii="宋体" w:hAnsi="宋体"/>
                <w:szCs w:val="21"/>
              </w:rPr>
              <w:t>年</w:t>
            </w:r>
            <w:r>
              <w:rPr>
                <w:rFonts w:hint="eastAsia" w:ascii="宋体" w:hAnsi="宋体"/>
                <w:szCs w:val="21"/>
                <w:lang w:val="en-US" w:eastAsia="zh-CN"/>
              </w:rPr>
              <w:t>-2021年</w:t>
            </w:r>
            <w:r>
              <w:rPr>
                <w:rFonts w:hint="eastAsia" w:ascii="宋体" w:hAnsi="宋体"/>
                <w:szCs w:val="21"/>
              </w:rPr>
              <w:t>度体系文件暂无修订更改。</w:t>
            </w:r>
          </w:p>
          <w:p>
            <w:pPr>
              <w:spacing w:line="360" w:lineRule="auto"/>
            </w:pPr>
            <w:r>
              <w:rPr>
                <w:rFonts w:hint="eastAsia" w:ascii="宋体" w:hAnsi="宋体"/>
                <w:szCs w:val="21"/>
              </w:rPr>
              <w:t>企业手册依据标准的要求，对企业适用情况进行了描述。</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tcPr>
          <w:p>
            <w:pPr>
              <w:rPr>
                <w:szCs w:val="22"/>
              </w:rPr>
            </w:pPr>
          </w:p>
          <w:p>
            <w:pPr>
              <w:rPr>
                <w:szCs w:val="22"/>
              </w:rPr>
            </w:pPr>
          </w:p>
          <w:p>
            <w:pPr>
              <w:rPr>
                <w:szCs w:val="22"/>
              </w:rPr>
            </w:pPr>
            <w:r>
              <w:rPr>
                <w:rFonts w:ascii="楷体" w:hAnsi="楷体" w:eastAsia="楷体"/>
                <w:sz w:val="24"/>
                <w:szCs w:val="24"/>
              </w:rPr>
              <w:t>文件控制</w:t>
            </w:r>
          </w:p>
        </w:tc>
        <w:tc>
          <w:tcPr>
            <w:tcW w:w="968" w:type="dxa"/>
          </w:tcPr>
          <w:p>
            <w:pPr>
              <w:rPr>
                <w:szCs w:val="22"/>
              </w:rPr>
            </w:pPr>
          </w:p>
          <w:p>
            <w:pPr>
              <w:rPr>
                <w:szCs w:val="22"/>
              </w:rPr>
            </w:pPr>
          </w:p>
          <w:p>
            <w:pPr>
              <w:rPr>
                <w:szCs w:val="22"/>
              </w:rPr>
            </w:pPr>
            <w:r>
              <w:rPr>
                <w:rFonts w:hint="eastAsia"/>
                <w:szCs w:val="22"/>
              </w:rPr>
              <w:t>7.5.2</w:t>
            </w:r>
          </w:p>
          <w:p>
            <w:pPr>
              <w:rPr>
                <w:szCs w:val="22"/>
              </w:rPr>
            </w:pPr>
            <w:r>
              <w:rPr>
                <w:rFonts w:hint="eastAsia"/>
                <w:szCs w:val="22"/>
              </w:rPr>
              <w:t>7.5.3</w:t>
            </w:r>
          </w:p>
        </w:tc>
        <w:tc>
          <w:tcPr>
            <w:tcW w:w="11591" w:type="dxa"/>
          </w:tcPr>
          <w:p>
            <w:pPr>
              <w:spacing w:line="360" w:lineRule="auto"/>
              <w:rPr>
                <w:rFonts w:ascii="宋体" w:hAnsi="宋体"/>
                <w:szCs w:val="21"/>
              </w:rPr>
            </w:pPr>
            <w:r>
              <w:rPr>
                <w:rFonts w:hint="eastAsia" w:ascii="宋体" w:hAnsi="宋体"/>
                <w:szCs w:val="21"/>
              </w:rPr>
              <w:t>企业编制了《文件和记录控制程序》，规定了有关企业文件、记录编制、标识、外来文件的收集编制、控制、管理要求。</w:t>
            </w:r>
          </w:p>
          <w:p>
            <w:pPr>
              <w:spacing w:line="360" w:lineRule="auto"/>
              <w:rPr>
                <w:rFonts w:ascii="宋体" w:hAnsi="宋体"/>
                <w:szCs w:val="21"/>
              </w:rPr>
            </w:pPr>
            <w:r>
              <w:rPr>
                <w:rFonts w:hint="eastAsia" w:ascii="宋体" w:hAnsi="宋体"/>
                <w:szCs w:val="21"/>
              </w:rPr>
              <w:t>为确保企业体系文件的适宜性和充分性，规定了企业文件资料的标识、格式、评审和批准的要求。</w:t>
            </w:r>
          </w:p>
          <w:p>
            <w:pPr>
              <w:spacing w:line="360" w:lineRule="auto"/>
              <w:rPr>
                <w:rFonts w:ascii="宋体" w:hAnsi="宋体"/>
                <w:szCs w:val="21"/>
              </w:rPr>
            </w:pPr>
            <w:r>
              <w:rPr>
                <w:rFonts w:hint="eastAsia" w:ascii="宋体" w:hAnsi="宋体"/>
                <w:szCs w:val="21"/>
              </w:rPr>
              <w:t>查企业提供的《环境管理手册》，查阅文审部分已经进行了修改，经过批准后进行更改。一阶段问题已整改有效，文件均为打印文稿，保持清晰，易于识别。</w:t>
            </w:r>
          </w:p>
          <w:p>
            <w:pPr>
              <w:spacing w:line="360" w:lineRule="auto"/>
              <w:rPr>
                <w:rFonts w:ascii="宋体" w:hAnsi="宋体"/>
                <w:szCs w:val="21"/>
              </w:rPr>
            </w:pPr>
            <w:r>
              <w:rPr>
                <w:rFonts w:hint="eastAsia" w:ascii="宋体" w:hAnsi="宋体"/>
                <w:szCs w:val="21"/>
              </w:rPr>
              <w:t xml:space="preserve">企业提供了针对以上文件的《文件发放记录》，记录了以上有关体系文件的发放情况。 </w:t>
            </w:r>
          </w:p>
          <w:p>
            <w:pPr>
              <w:spacing w:line="360" w:lineRule="auto"/>
              <w:rPr>
                <w:rFonts w:ascii="宋体" w:hAnsi="宋体"/>
                <w:szCs w:val="21"/>
              </w:rPr>
            </w:pPr>
            <w:r>
              <w:rPr>
                <w:rFonts w:hint="eastAsia" w:ascii="宋体" w:hAnsi="宋体"/>
                <w:szCs w:val="21"/>
              </w:rPr>
              <w:t>提供了《法律法规清单》列入了相关橡胶产品、检验、试验过程的质量、安全、环境法规外来文件，并形成文件的信息的控制。对以上进行识别、收集。</w:t>
            </w:r>
          </w:p>
          <w:p>
            <w:pPr>
              <w:spacing w:line="360" w:lineRule="auto"/>
            </w:pPr>
            <w:r>
              <w:rPr>
                <w:rFonts w:hint="eastAsia" w:ascii="宋体" w:hAnsi="宋体"/>
                <w:szCs w:val="21"/>
              </w:rPr>
              <w:t>由综合办负责通过到主管部门、网上收集、标准发布部门进行购买，并对外来文件的识别、跟踪、控制。</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968" w:type="dxa"/>
            <w:vAlign w:val="center"/>
          </w:tcPr>
          <w:p>
            <w:pPr>
              <w:spacing w:line="360" w:lineRule="auto"/>
              <w:rPr>
                <w:szCs w:val="22"/>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1591" w:type="dxa"/>
            <w:vAlign w:val="center"/>
          </w:tcPr>
          <w:p>
            <w:pPr>
              <w:spacing w:line="360" w:lineRule="auto"/>
              <w:ind w:firstLine="420" w:firstLineChars="200"/>
              <w:rPr>
                <w:rFonts w:ascii="宋体" w:hAnsi="宋体"/>
                <w:szCs w:val="21"/>
              </w:rPr>
            </w:pPr>
            <w:r>
              <w:rPr>
                <w:rFonts w:hint="eastAsia" w:ascii="宋体" w:hAnsi="宋体"/>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rPr>
                <w:rFonts w:ascii="宋体" w:hAnsi="宋体"/>
                <w:szCs w:val="21"/>
              </w:rPr>
            </w:pPr>
            <w:r>
              <w:rPr>
                <w:rFonts w:hint="eastAsia" w:ascii="宋体" w:hAnsi="宋体"/>
                <w:szCs w:val="21"/>
              </w:rPr>
              <w:t>《环境设施运行记录表》</w:t>
            </w:r>
          </w:p>
          <w:p>
            <w:pPr>
              <w:spacing w:line="360" w:lineRule="auto"/>
              <w:ind w:firstLine="420" w:firstLineChars="200"/>
              <w:rPr>
                <w:rFonts w:ascii="宋体" w:hAnsi="宋体"/>
                <w:szCs w:val="21"/>
              </w:rPr>
            </w:pPr>
            <w:r>
              <w:rPr>
                <w:rFonts w:hint="eastAsia" w:ascii="宋体" w:hAnsi="宋体"/>
                <w:szCs w:val="21"/>
              </w:rPr>
              <w:t>查到2007年3月公司高精度氟橡胶油封生产线项目环境影响报告表，查到2007年5月9日兴平市环境保护局《关于对陕西奉航密封件有限责任公司高精度氟橡胶油封生产线项目环境影响报告表的批复》，和2008.4.17兴平市环境保护局《关于对陕西奉航密封件有限责任公司高精度氟橡胶油封生产线项目环保治理设施通过验收的通知》，公司已经通过了环评验收。具体见附件。</w:t>
            </w:r>
          </w:p>
          <w:p>
            <w:pPr>
              <w:spacing w:line="360" w:lineRule="auto"/>
              <w:ind w:firstLine="420" w:firstLineChars="200"/>
              <w:rPr>
                <w:rFonts w:ascii="宋体" w:hAnsi="宋体"/>
                <w:szCs w:val="21"/>
              </w:rPr>
            </w:pPr>
            <w:r>
              <w:rPr>
                <w:rFonts w:hint="eastAsia" w:ascii="宋体" w:hAnsi="宋体"/>
                <w:szCs w:val="21"/>
              </w:rPr>
              <w:t>公司位于陕西省咸阳市兴平市西城区金城路西段，周边是居民和其他单位。根据需要建设有办公楼、车间、仓库，厂区有停车位和消防栓。</w:t>
            </w:r>
          </w:p>
          <w:p>
            <w:pPr>
              <w:spacing w:line="360" w:lineRule="auto"/>
              <w:ind w:firstLine="420" w:firstLineChars="200"/>
              <w:rPr>
                <w:rFonts w:ascii="宋体" w:hAnsi="宋体"/>
                <w:szCs w:val="21"/>
              </w:rPr>
            </w:pPr>
            <w:r>
              <w:rPr>
                <w:rFonts w:hint="eastAsia" w:ascii="宋体" w:hAnsi="宋体"/>
                <w:szCs w:val="21"/>
              </w:rPr>
              <w:t>按公司要求人走关灯，办公室内电脑要求人走后电源切断。办公室内垃圾主要包含可回收垃圾、硒鼓、废纸。公司配置了垃圾箱，综合办统一处理。</w:t>
            </w:r>
          </w:p>
          <w:p>
            <w:pPr>
              <w:spacing w:line="360" w:lineRule="auto"/>
              <w:ind w:firstLine="420" w:firstLineChars="200"/>
              <w:rPr>
                <w:rFonts w:ascii="宋体" w:hAnsi="宋体"/>
                <w:szCs w:val="21"/>
              </w:rPr>
            </w:pPr>
            <w:r>
              <w:rPr>
                <w:rFonts w:hint="eastAsia" w:ascii="宋体" w:hAnsi="宋体"/>
                <w:szCs w:val="21"/>
              </w:rPr>
              <w:t>对可回收的固体废弃物，一部分由厂家回收，厂家不回收的公司统一回收再利用或由物资回收公司处理。不可回收的废弃物由公司综合办统一处理，各部门不得单独处理。</w:t>
            </w:r>
          </w:p>
          <w:p>
            <w:pPr>
              <w:spacing w:line="360" w:lineRule="auto"/>
              <w:ind w:firstLine="420" w:firstLineChars="200"/>
              <w:rPr>
                <w:rFonts w:hint="default" w:ascii="楷体" w:hAnsi="楷体" w:eastAsia="楷体" w:cs="楷体"/>
                <w:color w:val="auto"/>
                <w:sz w:val="24"/>
                <w:szCs w:val="24"/>
                <w:lang w:val="en-US"/>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.2</w:t>
            </w:r>
            <w:r>
              <w:rPr>
                <w:rFonts w:hint="eastAsia" w:ascii="宋体" w:hAnsi="宋体"/>
                <w:color w:val="auto"/>
                <w:szCs w:val="21"/>
                <w:lang w:val="en-US" w:eastAsia="zh-CN"/>
              </w:rPr>
              <w:t>5</w:t>
            </w:r>
            <w:r>
              <w:rPr>
                <w:rFonts w:hint="eastAsia" w:ascii="宋体" w:hAnsi="宋体"/>
                <w:color w:val="auto"/>
                <w:szCs w:val="21"/>
              </w:rPr>
              <w:t>日与陕西新天地固体废物综合处置有限公司签订了危险废物委托处置合同，经查处理方有处理资质。</w:t>
            </w:r>
            <w:r>
              <w:rPr>
                <w:rFonts w:hint="eastAsia" w:ascii="宋体" w:hAnsi="宋体"/>
                <w:color w:val="auto"/>
                <w:szCs w:val="21"/>
                <w:lang w:val="en-US" w:eastAsia="zh-CN"/>
              </w:rPr>
              <w:t>见附件。2021年8月5日废弃物处理五联单，处理了油水混合物、矿物油、沾染物。见附件。</w:t>
            </w:r>
          </w:p>
          <w:p>
            <w:pPr>
              <w:spacing w:line="360" w:lineRule="auto"/>
              <w:rPr>
                <w:rFonts w:ascii="宋体" w:hAnsi="宋体"/>
                <w:color w:val="auto"/>
                <w:szCs w:val="21"/>
              </w:rPr>
            </w:pPr>
            <w:r>
              <w:rPr>
                <w:rFonts w:hint="eastAsia" w:ascii="宋体" w:hAnsi="宋体"/>
                <w:color w:val="auto"/>
                <w:szCs w:val="21"/>
              </w:rPr>
              <w:t>提供202</w:t>
            </w:r>
            <w:r>
              <w:rPr>
                <w:rFonts w:hint="eastAsia" w:ascii="宋体" w:hAnsi="宋体"/>
                <w:color w:val="auto"/>
                <w:szCs w:val="21"/>
                <w:lang w:val="en-US" w:eastAsia="zh-CN"/>
              </w:rPr>
              <w:t>1</w:t>
            </w:r>
            <w:r>
              <w:rPr>
                <w:rFonts w:hint="eastAsia" w:ascii="宋体" w:hAnsi="宋体"/>
                <w:color w:val="auto"/>
                <w:szCs w:val="21"/>
              </w:rPr>
              <w:t>.7.2</w:t>
            </w:r>
            <w:r>
              <w:rPr>
                <w:rFonts w:hint="eastAsia" w:ascii="宋体" w:hAnsi="宋体"/>
                <w:color w:val="auto"/>
                <w:szCs w:val="21"/>
                <w:lang w:val="en-US" w:eastAsia="zh-CN"/>
              </w:rPr>
              <w:t>6</w:t>
            </w:r>
            <w:r>
              <w:rPr>
                <w:rFonts w:hint="eastAsia" w:ascii="宋体" w:hAnsi="宋体"/>
                <w:color w:val="auto"/>
                <w:szCs w:val="21"/>
              </w:rPr>
              <w:t>日由陕西</w:t>
            </w:r>
            <w:r>
              <w:rPr>
                <w:rFonts w:hint="eastAsia" w:ascii="宋体" w:hAnsi="宋体"/>
                <w:color w:val="auto"/>
                <w:szCs w:val="21"/>
                <w:lang w:val="en-US" w:eastAsia="zh-CN"/>
              </w:rPr>
              <w:t>源</w:t>
            </w:r>
            <w:r>
              <w:rPr>
                <w:rFonts w:hint="eastAsia" w:ascii="宋体" w:hAnsi="宋体"/>
                <w:color w:val="auto"/>
                <w:szCs w:val="21"/>
              </w:rPr>
              <w:t>泽检测科技有限公司，编号：</w:t>
            </w:r>
            <w:r>
              <w:rPr>
                <w:rFonts w:hint="eastAsia" w:ascii="宋体" w:hAnsi="宋体"/>
                <w:color w:val="auto"/>
                <w:szCs w:val="21"/>
                <w:lang w:val="en-US" w:eastAsia="zh-CN"/>
              </w:rPr>
              <w:t>源</w:t>
            </w:r>
            <w:r>
              <w:rPr>
                <w:rFonts w:hint="eastAsia" w:ascii="宋体" w:hAnsi="宋体"/>
                <w:color w:val="auto"/>
                <w:szCs w:val="21"/>
              </w:rPr>
              <w:t>泽环监字（202</w:t>
            </w:r>
            <w:r>
              <w:rPr>
                <w:rFonts w:hint="eastAsia" w:ascii="宋体" w:hAnsi="宋体"/>
                <w:color w:val="auto"/>
                <w:szCs w:val="21"/>
                <w:lang w:val="en-US" w:eastAsia="zh-CN"/>
              </w:rPr>
              <w:t>1</w:t>
            </w:r>
            <w:r>
              <w:rPr>
                <w:rFonts w:hint="eastAsia" w:ascii="宋体" w:hAnsi="宋体"/>
                <w:color w:val="auto"/>
                <w:szCs w:val="21"/>
              </w:rPr>
              <w:t>）第</w:t>
            </w:r>
            <w:r>
              <w:rPr>
                <w:rFonts w:hint="eastAsia" w:ascii="宋体" w:hAnsi="宋体"/>
                <w:color w:val="auto"/>
                <w:szCs w:val="21"/>
                <w:lang w:val="en-US" w:eastAsia="zh-CN"/>
              </w:rPr>
              <w:t>614</w:t>
            </w:r>
            <w:r>
              <w:rPr>
                <w:rFonts w:hint="eastAsia" w:ascii="宋体" w:hAnsi="宋体"/>
                <w:color w:val="auto"/>
                <w:szCs w:val="21"/>
              </w:rPr>
              <w:t>号《监测报告》，内容详见9.1.1。</w:t>
            </w:r>
          </w:p>
          <w:p>
            <w:pPr>
              <w:spacing w:line="360" w:lineRule="auto"/>
              <w:rPr>
                <w:rFonts w:hint="eastAsia" w:ascii="宋体" w:hAnsi="宋体"/>
                <w:color w:val="auto"/>
                <w:szCs w:val="21"/>
              </w:rPr>
            </w:pPr>
            <w:r>
              <w:rPr>
                <w:rFonts w:hint="eastAsia" w:ascii="宋体" w:hAnsi="宋体"/>
                <w:color w:val="auto"/>
                <w:szCs w:val="21"/>
                <w:lang w:val="en-US" w:eastAsia="zh-CN"/>
              </w:rPr>
              <w:t>提供《固定污染源排污登记回执》，编号：91610481741272089T001X</w:t>
            </w:r>
            <w:r>
              <w:rPr>
                <w:rFonts w:hint="eastAsia" w:ascii="宋体" w:hAnsi="宋体"/>
                <w:color w:val="auto"/>
                <w:szCs w:val="21"/>
              </w:rPr>
              <w:t>。</w:t>
            </w:r>
          </w:p>
          <w:p>
            <w:pPr>
              <w:spacing w:line="360" w:lineRule="auto"/>
              <w:rPr>
                <w:rFonts w:hint="eastAsia" w:ascii="宋体" w:hAnsi="宋体" w:eastAsia="宋体"/>
                <w:color w:val="FF0000"/>
                <w:szCs w:val="21"/>
                <w:lang w:eastAsia="zh-CN"/>
              </w:rPr>
            </w:pPr>
            <w:r>
              <w:rPr>
                <w:rFonts w:hint="eastAsia" w:ascii="宋体" w:hAnsi="宋体" w:eastAsia="宋体"/>
                <w:color w:val="FF0000"/>
                <w:szCs w:val="21"/>
                <w:lang w:eastAsia="zh-CN"/>
              </w:rPr>
              <w:drawing>
                <wp:inline distT="0" distB="0" distL="114300" distR="114300">
                  <wp:extent cx="1898650" cy="2176145"/>
                  <wp:effectExtent l="0" t="0" r="6350" b="8255"/>
                  <wp:docPr id="5" name="图片 5" descr="c95b79c838362b7358e19b65dd20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5b79c838362b7358e19b65dd200ee"/>
                          <pic:cNvPicPr>
                            <a:picLocks noChangeAspect="1"/>
                          </pic:cNvPicPr>
                        </pic:nvPicPr>
                        <pic:blipFill>
                          <a:blip r:embed="rId6"/>
                          <a:stretch>
                            <a:fillRect/>
                          </a:stretch>
                        </pic:blipFill>
                        <pic:spPr>
                          <a:xfrm>
                            <a:off x="0" y="0"/>
                            <a:ext cx="1898650" cy="2176145"/>
                          </a:xfrm>
                          <a:prstGeom prst="rect">
                            <a:avLst/>
                          </a:prstGeom>
                        </pic:spPr>
                      </pic:pic>
                    </a:graphicData>
                  </a:graphic>
                </wp:inline>
              </w:drawing>
            </w:r>
          </w:p>
          <w:p>
            <w:pPr>
              <w:spacing w:line="360" w:lineRule="auto"/>
              <w:rPr>
                <w:rFonts w:hint="eastAsia" w:ascii="宋体" w:hAnsi="宋体"/>
                <w:color w:val="FF0000"/>
                <w:szCs w:val="21"/>
              </w:rPr>
            </w:pPr>
          </w:p>
          <w:p>
            <w:pPr>
              <w:spacing w:line="360" w:lineRule="auto"/>
              <w:ind w:firstLine="420" w:firstLineChars="200"/>
              <w:rPr>
                <w:rFonts w:ascii="宋体" w:hAnsi="宋体"/>
                <w:szCs w:val="21"/>
              </w:rPr>
            </w:pPr>
            <w:r>
              <w:rPr>
                <w:rFonts w:hint="eastAsia" w:ascii="宋体" w:hAnsi="宋体"/>
                <w:szCs w:val="21"/>
              </w:rPr>
              <w:t>生活污水经化粪池简单处理后排入市政污水管网。</w:t>
            </w:r>
          </w:p>
          <w:p>
            <w:pPr>
              <w:spacing w:line="360" w:lineRule="auto"/>
              <w:ind w:firstLine="420" w:firstLineChars="200"/>
              <w:rPr>
                <w:rFonts w:ascii="宋体" w:hAnsi="宋体"/>
                <w:szCs w:val="21"/>
              </w:rPr>
            </w:pPr>
            <w:r>
              <w:rPr>
                <w:rFonts w:hint="eastAsia" w:ascii="宋体" w:hAnsi="宋体"/>
                <w:szCs w:val="21"/>
              </w:rPr>
              <w:t>综合办内主要是电的使用，电器有漏电保护器，经常对电路、电源进行检查，没有露电现象发生。现场巡视办公区域消防栓、灭火器正常，电线、电气插座完整，未见破损，空调设定在26℃。</w:t>
            </w:r>
          </w:p>
          <w:p>
            <w:pPr>
              <w:spacing w:line="360" w:lineRule="auto"/>
              <w:ind w:firstLine="420" w:firstLineChars="200"/>
              <w:rPr>
                <w:rFonts w:ascii="宋体" w:hAnsi="宋体"/>
                <w:szCs w:val="21"/>
              </w:rPr>
            </w:pPr>
            <w:r>
              <w:rPr>
                <w:rFonts w:hint="eastAsia" w:ascii="宋体" w:hAnsi="宋体"/>
                <w:szCs w:val="21"/>
              </w:rPr>
              <w:t>现场查看食堂地面干净，餐桌干净卫生，配有空调和风扇，餐厅和操作间有灭火器，食堂作业使用电器和液化气。有冰柜储存冷鲜食物，有消毒柜对碗筷进行日常消毒处理，菜板和刀具区分生、熟食。刀具有专门存放位置、使用时注意安全，查食堂作业人员均有健康证。垃圾、剩饭倒入垃圾桶，每天由当地环卫部门统一清运处理，现场巡查未发现异常。查公司宿舍楼为3层楼房，每层宿舍走廊过道均配有消防栓、灭火器，查均符合要求。</w:t>
            </w:r>
          </w:p>
          <w:p>
            <w:pPr>
              <w:spacing w:line="360" w:lineRule="auto"/>
              <w:rPr>
                <w:rFonts w:ascii="宋体" w:hAnsi="宋体"/>
                <w:szCs w:val="21"/>
              </w:rPr>
            </w:pPr>
            <w:r>
              <w:rPr>
                <w:rFonts w:hint="eastAsia" w:ascii="宋体" w:hAnsi="宋体"/>
                <w:szCs w:val="21"/>
              </w:rPr>
              <w:t>综合办部门运行控制基本符合规定要求。</w:t>
            </w:r>
          </w:p>
          <w:p>
            <w:pPr>
              <w:spacing w:line="360" w:lineRule="auto"/>
              <w:rPr>
                <w:rFonts w:ascii="宋体" w:hAnsi="宋体"/>
                <w:szCs w:val="21"/>
              </w:rPr>
            </w:pPr>
            <w:r>
              <w:rPr>
                <w:rFonts w:hint="eastAsia" w:ascii="宋体" w:hAnsi="宋体"/>
                <w:szCs w:val="21"/>
              </w:rPr>
              <w:t>部门运行控制能结合产品生命周期方法，基本符合规定要求。</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608"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968"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szCs w:val="22"/>
              </w:rPr>
            </w:pPr>
          </w:p>
        </w:tc>
        <w:tc>
          <w:tcPr>
            <w:tcW w:w="11591" w:type="dxa"/>
          </w:tcPr>
          <w:p>
            <w:pPr>
              <w:spacing w:line="360" w:lineRule="auto"/>
              <w:ind w:firstLine="420" w:firstLineChars="200"/>
              <w:rPr>
                <w:rFonts w:ascii="宋体" w:hAnsi="宋体"/>
                <w:szCs w:val="21"/>
              </w:rPr>
            </w:pPr>
            <w:r>
              <w:rPr>
                <w:rFonts w:hint="eastAsia" w:ascii="宋体" w:hAnsi="宋体"/>
                <w:szCs w:val="21"/>
              </w:rPr>
              <w:t>提供了《应急准备和响应控制程序》、《消防安全应急预案》，其中包括目的、适用范围、职责、应急领导小组成员职责、程序、现场应急措施等，相关内容基本充分。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ascii="楷体" w:hAnsi="楷体" w:eastAsia="楷体" w:cs="楷体"/>
                <w:color w:val="auto"/>
                <w:sz w:val="24"/>
                <w:szCs w:val="24"/>
              </w:rPr>
            </w:pPr>
            <w:r>
              <w:rPr>
                <w:rFonts w:hint="eastAsia" w:ascii="宋体" w:hAnsi="宋体"/>
                <w:color w:val="auto"/>
                <w:szCs w:val="21"/>
              </w:rPr>
              <w:t>提供的202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w:t>
            </w:r>
            <w:r>
              <w:rPr>
                <w:rFonts w:hint="eastAsia" w:ascii="宋体" w:hAnsi="宋体"/>
                <w:color w:val="auto"/>
                <w:szCs w:val="21"/>
                <w:lang w:val="en-US" w:eastAsia="zh-CN"/>
              </w:rPr>
              <w:t>上午</w:t>
            </w:r>
            <w:r>
              <w:rPr>
                <w:rFonts w:hint="eastAsia" w:ascii="宋体" w:hAnsi="宋体"/>
                <w:color w:val="auto"/>
                <w:szCs w:val="21"/>
              </w:rPr>
              <w:t>，</w:t>
            </w:r>
            <w:r>
              <w:rPr>
                <w:rFonts w:hint="eastAsia" w:ascii="宋体" w:hAnsi="宋体"/>
                <w:color w:val="auto"/>
                <w:szCs w:val="21"/>
                <w:lang w:val="en-US" w:eastAsia="zh-CN"/>
              </w:rPr>
              <w:t>企业</w:t>
            </w:r>
            <w:r>
              <w:rPr>
                <w:rFonts w:hint="eastAsia" w:ascii="宋体" w:hAnsi="宋体"/>
                <w:color w:val="auto"/>
                <w:szCs w:val="21"/>
              </w:rPr>
              <w:t>邀请</w:t>
            </w:r>
            <w:r>
              <w:rPr>
                <w:rFonts w:hint="eastAsia" w:ascii="宋体" w:hAnsi="宋体"/>
                <w:color w:val="auto"/>
                <w:szCs w:val="21"/>
                <w:lang w:val="en-US" w:eastAsia="zh-CN"/>
              </w:rPr>
              <w:t>应急管理部门消防人员</w:t>
            </w:r>
            <w:r>
              <w:rPr>
                <w:rFonts w:hint="eastAsia" w:ascii="宋体" w:hAnsi="宋体"/>
                <w:color w:val="auto"/>
                <w:szCs w:val="21"/>
              </w:rPr>
              <w:t>，对公司消防安全责任人和管理人进行了消防安全培训。陕西奉航科技有限责任公司、陕西秦航机械制造有限责任公司各部门均参加了培训会。</w:t>
            </w:r>
          </w:p>
          <w:p>
            <w:pPr>
              <w:spacing w:line="360" w:lineRule="auto"/>
              <w:ind w:firstLine="420" w:firstLineChars="200"/>
              <w:rPr>
                <w:rFonts w:hint="eastAsia" w:ascii="宋体" w:hAnsi="宋体"/>
                <w:color w:val="auto"/>
                <w:szCs w:val="21"/>
              </w:rPr>
            </w:pPr>
            <w:r>
              <w:rPr>
                <w:rFonts w:hint="eastAsia" w:ascii="宋体" w:hAnsi="宋体"/>
                <w:color w:val="auto"/>
                <w:szCs w:val="21"/>
              </w:rPr>
              <w:t>查到《消防应急预案演练记录》，202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日公司全体人员参与了消防演练，记录了演练过程，对演练中的一些常规知识进行了现场讲评。</w:t>
            </w: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eastAsia="宋体"/>
                <w:color w:val="0000FF"/>
                <w:szCs w:val="21"/>
                <w:lang w:eastAsia="zh-CN"/>
              </w:rPr>
            </w:pPr>
            <w:r>
              <w:rPr>
                <w:rFonts w:hint="eastAsia" w:ascii="宋体" w:hAnsi="宋体" w:eastAsia="宋体"/>
                <w:color w:val="0000FF"/>
                <w:szCs w:val="21"/>
                <w:lang w:eastAsia="zh-CN"/>
              </w:rPr>
              <w:drawing>
                <wp:anchor distT="0" distB="0" distL="114300" distR="114300" simplePos="0" relativeHeight="251663360" behindDoc="0" locked="0" layoutInCell="1" allowOverlap="1">
                  <wp:simplePos x="0" y="0"/>
                  <wp:positionH relativeFrom="column">
                    <wp:posOffset>3321050</wp:posOffset>
                  </wp:positionH>
                  <wp:positionV relativeFrom="paragraph">
                    <wp:posOffset>161925</wp:posOffset>
                  </wp:positionV>
                  <wp:extent cx="3035300" cy="2010410"/>
                  <wp:effectExtent l="0" t="0" r="0" b="8890"/>
                  <wp:wrapNone/>
                  <wp:docPr id="3" name="图片 3" descr="C:/Users/郭力/AppData/Local/Temp/picturecompress_2021091310161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郭力/AppData/Local/Temp/picturecompress_20210913101614/output_1.jpgoutput_1"/>
                          <pic:cNvPicPr>
                            <a:picLocks noChangeAspect="1"/>
                          </pic:cNvPicPr>
                        </pic:nvPicPr>
                        <pic:blipFill>
                          <a:blip r:embed="rId7"/>
                          <a:stretch>
                            <a:fillRect/>
                          </a:stretch>
                        </pic:blipFill>
                        <pic:spPr>
                          <a:xfrm>
                            <a:off x="0" y="0"/>
                            <a:ext cx="3035300" cy="2010410"/>
                          </a:xfrm>
                          <a:prstGeom prst="rect">
                            <a:avLst/>
                          </a:prstGeom>
                        </pic:spPr>
                      </pic:pic>
                    </a:graphicData>
                  </a:graphic>
                </wp:anchor>
              </w:drawing>
            </w:r>
            <w:r>
              <w:rPr>
                <w:rFonts w:hint="eastAsia" w:ascii="宋体" w:hAnsi="宋体" w:eastAsia="宋体"/>
                <w:color w:val="0000FF"/>
                <w:szCs w:val="21"/>
                <w:lang w:eastAsia="zh-CN"/>
              </w:rPr>
              <w:drawing>
                <wp:anchor distT="0" distB="0" distL="114300" distR="114300" simplePos="0" relativeHeight="251662336" behindDoc="0" locked="0" layoutInCell="1" allowOverlap="1">
                  <wp:simplePos x="0" y="0"/>
                  <wp:positionH relativeFrom="column">
                    <wp:posOffset>88900</wp:posOffset>
                  </wp:positionH>
                  <wp:positionV relativeFrom="paragraph">
                    <wp:posOffset>156845</wp:posOffset>
                  </wp:positionV>
                  <wp:extent cx="3042285" cy="2015490"/>
                  <wp:effectExtent l="0" t="0" r="5715" b="3810"/>
                  <wp:wrapNone/>
                  <wp:docPr id="2" name="图片 2" descr="C:/Users/郭力/AppData/Local/Temp/picturecompress_202109131015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郭力/AppData/Local/Temp/picturecompress_20210913101553/output_1.jpgoutput_1"/>
                          <pic:cNvPicPr>
                            <a:picLocks noChangeAspect="1"/>
                          </pic:cNvPicPr>
                        </pic:nvPicPr>
                        <pic:blipFill>
                          <a:blip r:embed="rId8"/>
                          <a:stretch>
                            <a:fillRect/>
                          </a:stretch>
                        </pic:blipFill>
                        <pic:spPr>
                          <a:xfrm>
                            <a:off x="0" y="0"/>
                            <a:ext cx="3042285" cy="2015490"/>
                          </a:xfrm>
                          <a:prstGeom prst="rect">
                            <a:avLst/>
                          </a:prstGeom>
                        </pic:spPr>
                      </pic:pic>
                    </a:graphicData>
                  </a:graphic>
                </wp:anchor>
              </w:drawing>
            </w:r>
          </w:p>
          <w:p>
            <w:pPr>
              <w:spacing w:line="360" w:lineRule="auto"/>
              <w:ind w:firstLine="420" w:firstLineChars="200"/>
              <w:rPr>
                <w:rFonts w:hint="eastAsia" w:ascii="宋体" w:hAnsi="宋体" w:eastAsia="宋体"/>
                <w:color w:val="0000FF"/>
                <w:szCs w:val="21"/>
                <w:lang w:eastAsia="zh-CN"/>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color w:val="0000FF"/>
                <w:szCs w:val="21"/>
              </w:rPr>
            </w:pPr>
          </w:p>
          <w:p>
            <w:pPr>
              <w:spacing w:line="360" w:lineRule="auto"/>
              <w:ind w:firstLine="420" w:firstLineChars="200"/>
              <w:rPr>
                <w:rFonts w:hint="eastAsia" w:ascii="宋体" w:hAnsi="宋体" w:eastAsia="宋体"/>
                <w:szCs w:val="21"/>
                <w:lang w:eastAsia="zh-CN"/>
              </w:rPr>
            </w:pPr>
            <w:r>
              <w:rPr>
                <w:rFonts w:hint="eastAsia" w:ascii="宋体" w:hAnsi="宋体"/>
                <w:szCs w:val="21"/>
              </w:rPr>
              <w:t>查到消防器材台账：消防柜 9个、灭火器94个、消防带26个，消防器材配置部位，责任部门、责任人，消防器材较充分。</w:t>
            </w:r>
          </w:p>
          <w:p>
            <w:pPr>
              <w:spacing w:line="360" w:lineRule="auto"/>
              <w:ind w:firstLine="420" w:firstLineChars="200"/>
              <w:rPr>
                <w:rFonts w:hint="eastAsia" w:ascii="宋体" w:hAnsi="宋体"/>
                <w:szCs w:val="21"/>
              </w:rPr>
            </w:pPr>
            <w:r>
              <w:rPr>
                <w:rFonts w:hint="eastAsia" w:ascii="宋体" w:hAnsi="宋体" w:eastAsia="宋体"/>
                <w:szCs w:val="21"/>
                <w:lang w:eastAsia="zh-CN"/>
              </w:rPr>
              <w:drawing>
                <wp:anchor distT="0" distB="0" distL="114300" distR="114300" simplePos="0" relativeHeight="251664384" behindDoc="0" locked="0" layoutInCell="1" allowOverlap="1">
                  <wp:simplePos x="0" y="0"/>
                  <wp:positionH relativeFrom="column">
                    <wp:posOffset>3284855</wp:posOffset>
                  </wp:positionH>
                  <wp:positionV relativeFrom="paragraph">
                    <wp:posOffset>96520</wp:posOffset>
                  </wp:positionV>
                  <wp:extent cx="3263900" cy="2202815"/>
                  <wp:effectExtent l="0" t="0" r="0" b="6985"/>
                  <wp:wrapNone/>
                  <wp:docPr id="4" name="图片 4" descr="微信图片_20210913101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31018309"/>
                          <pic:cNvPicPr>
                            <a:picLocks noChangeAspect="1"/>
                          </pic:cNvPicPr>
                        </pic:nvPicPr>
                        <pic:blipFill>
                          <a:blip r:embed="rId9"/>
                          <a:srcRect l="2541" t="12181" r="10798" b="8916"/>
                          <a:stretch>
                            <a:fillRect/>
                          </a:stretch>
                        </pic:blipFill>
                        <pic:spPr>
                          <a:xfrm>
                            <a:off x="0" y="0"/>
                            <a:ext cx="3263900" cy="2202815"/>
                          </a:xfrm>
                          <a:prstGeom prst="rect">
                            <a:avLst/>
                          </a:prstGeom>
                        </pic:spPr>
                      </pic:pic>
                    </a:graphicData>
                  </a:graphic>
                </wp:anchor>
              </w:drawing>
            </w:r>
            <w:r>
              <w:rPr>
                <w:rFonts w:hint="eastAsia" w:ascii="楷体" w:hAnsi="楷体" w:eastAsia="楷体" w:cs="楷体"/>
                <w:sz w:val="24"/>
                <w:szCs w:val="24"/>
              </w:rPr>
              <w:drawing>
                <wp:anchor distT="0" distB="0" distL="114300" distR="114300" simplePos="0" relativeHeight="251661312" behindDoc="0" locked="0" layoutInCell="1" allowOverlap="1">
                  <wp:simplePos x="0" y="0"/>
                  <wp:positionH relativeFrom="column">
                    <wp:posOffset>206375</wp:posOffset>
                  </wp:positionH>
                  <wp:positionV relativeFrom="paragraph">
                    <wp:posOffset>98425</wp:posOffset>
                  </wp:positionV>
                  <wp:extent cx="2933700" cy="2200275"/>
                  <wp:effectExtent l="0" t="0" r="0" b="9525"/>
                  <wp:wrapNone/>
                  <wp:docPr id="19" name="图片 19" descr="67339c8d1e02452018adca3bf6b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7339c8d1e02452018adca3bf6bb363"/>
                          <pic:cNvPicPr>
                            <a:picLocks noChangeAspect="1"/>
                          </pic:cNvPicPr>
                        </pic:nvPicPr>
                        <pic:blipFill>
                          <a:blip r:embed="rId10"/>
                          <a:stretch>
                            <a:fillRect/>
                          </a:stretch>
                        </pic:blipFill>
                        <pic:spPr>
                          <a:xfrm>
                            <a:off x="0" y="0"/>
                            <a:ext cx="2933700" cy="2200275"/>
                          </a:xfrm>
                          <a:prstGeom prst="rect">
                            <a:avLst/>
                          </a:prstGeom>
                        </pic:spPr>
                      </pic:pic>
                    </a:graphicData>
                  </a:graphic>
                </wp:anchor>
              </w:drawing>
            </w:r>
          </w:p>
          <w:p>
            <w:pPr>
              <w:spacing w:line="360" w:lineRule="auto"/>
              <w:ind w:firstLine="420" w:firstLineChars="200"/>
              <w:rPr>
                <w:rFonts w:hint="eastAsia" w:ascii="宋体" w:hAnsi="宋体"/>
                <w:szCs w:val="21"/>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spacing w:line="360" w:lineRule="auto"/>
              <w:rPr>
                <w:rFonts w:ascii="宋体" w:hAnsi="宋体"/>
                <w:szCs w:val="21"/>
              </w:rPr>
            </w:pPr>
            <w:r>
              <w:rPr>
                <w:rFonts w:hint="eastAsia" w:ascii="宋体" w:hAnsi="宋体"/>
                <w:szCs w:val="21"/>
              </w:rPr>
              <w:t>查到《消防设施器材点检表》，每周一次，自体系运行以来尚未发生紧急情况。</w:t>
            </w:r>
          </w:p>
          <w:p>
            <w:pPr>
              <w:spacing w:line="360" w:lineRule="auto"/>
              <w:ind w:firstLine="420" w:firstLineChars="200"/>
              <w:rPr>
                <w:rFonts w:ascii="宋体" w:hAnsi="宋体"/>
                <w:szCs w:val="21"/>
              </w:rPr>
            </w:pPr>
            <w:r>
              <w:rPr>
                <w:rFonts w:hint="eastAsia" w:ascii="宋体" w:hAnsi="宋体"/>
                <w:szCs w:val="21"/>
              </w:rPr>
              <w:t>现场查看：</w:t>
            </w:r>
          </w:p>
          <w:p>
            <w:pPr>
              <w:spacing w:line="360" w:lineRule="auto"/>
              <w:ind w:firstLine="420" w:firstLineChars="200"/>
              <w:rPr>
                <w:rFonts w:ascii="宋体" w:hAnsi="宋体"/>
                <w:szCs w:val="21"/>
              </w:rPr>
            </w:pPr>
            <w:r>
              <w:rPr>
                <w:rFonts w:hint="eastAsia" w:ascii="宋体" w:hAnsi="宋体"/>
                <w:szCs w:val="21"/>
              </w:rPr>
              <w:t>公司实验中心、胶料车间的消防栓和灭火器、《消防设施器材点检表》状态正常。</w:t>
            </w:r>
          </w:p>
          <w:p>
            <w:pPr>
              <w:spacing w:line="360" w:lineRule="auto"/>
              <w:ind w:firstLine="420" w:firstLineChars="200"/>
              <w:rPr>
                <w:rFonts w:ascii="宋体" w:hAnsi="宋体"/>
                <w:szCs w:val="21"/>
              </w:rPr>
            </w:pPr>
            <w:r>
              <w:rPr>
                <w:rFonts w:hint="eastAsia" w:ascii="宋体" w:hAnsi="宋体"/>
                <w:szCs w:val="21"/>
              </w:rPr>
              <w:t>提供编号FHXJYJYA-1-2019《陕西奉航科技有限责任公司突发环境事件应急预案》,请陕西的环境专家对该公司的突发环境事件应急预案进行了评审。</w:t>
            </w:r>
          </w:p>
          <w:p>
            <w:pPr>
              <w:spacing w:line="360" w:lineRule="auto"/>
              <w:ind w:firstLine="420" w:firstLineChars="200"/>
              <w:rPr>
                <w:rFonts w:ascii="宋体" w:hAnsi="宋体"/>
                <w:szCs w:val="21"/>
              </w:rPr>
            </w:pPr>
            <w:r>
              <w:rPr>
                <w:rFonts w:hint="eastAsia" w:ascii="宋体" w:hAnsi="宋体"/>
                <w:szCs w:val="21"/>
              </w:rPr>
              <w:t>该预案根据国家分级原则，结合公司实际特点，公司突发环境事件主要包括以下类型</w:t>
            </w:r>
          </w:p>
          <w:p>
            <w:pPr>
              <w:spacing w:line="360" w:lineRule="auto"/>
              <w:ind w:firstLine="420" w:firstLineChars="200"/>
              <w:rPr>
                <w:rFonts w:ascii="宋体" w:hAnsi="宋体"/>
                <w:szCs w:val="21"/>
              </w:rPr>
            </w:pPr>
            <w:r>
              <w:rPr>
                <w:rFonts w:hint="eastAsia" w:ascii="宋体" w:hAnsi="宋体"/>
                <w:szCs w:val="21"/>
              </w:rPr>
              <w:t>(1)发生暴雨等自然灾害引发的生产废水泄漏;</w:t>
            </w:r>
          </w:p>
          <w:p>
            <w:pPr>
              <w:spacing w:line="360" w:lineRule="auto"/>
              <w:ind w:firstLine="420" w:firstLineChars="200"/>
              <w:rPr>
                <w:rFonts w:ascii="宋体" w:hAnsi="宋体"/>
                <w:szCs w:val="21"/>
              </w:rPr>
            </w:pPr>
            <w:r>
              <w:rPr>
                <w:rFonts w:hint="eastAsia" w:ascii="宋体" w:hAnsi="宋体"/>
                <w:szCs w:val="21"/>
              </w:rPr>
              <w:t>(2)废气处理设施发生故障引发的废气泄漏;</w:t>
            </w:r>
          </w:p>
          <w:p>
            <w:pPr>
              <w:spacing w:line="360" w:lineRule="auto"/>
              <w:ind w:firstLine="420" w:firstLineChars="200"/>
              <w:rPr>
                <w:rFonts w:ascii="宋体" w:hAnsi="宋体"/>
                <w:szCs w:val="21"/>
              </w:rPr>
            </w:pPr>
            <w:r>
              <w:rPr>
                <w:rFonts w:hint="eastAsia" w:ascii="宋体" w:hAnsi="宋体"/>
                <w:szCs w:val="21"/>
              </w:rPr>
              <w:t>(3)固体废物泄漏引发的突发环境事件</w:t>
            </w:r>
          </w:p>
          <w:p>
            <w:pPr>
              <w:spacing w:line="360" w:lineRule="auto"/>
              <w:ind w:firstLine="420" w:firstLineChars="200"/>
              <w:rPr>
                <w:rFonts w:ascii="宋体" w:hAnsi="宋体"/>
                <w:szCs w:val="21"/>
              </w:rPr>
            </w:pPr>
            <w:r>
              <w:rPr>
                <w:rFonts w:hint="eastAsia" w:ascii="宋体" w:hAnsi="宋体"/>
                <w:szCs w:val="21"/>
              </w:rPr>
              <w:t>(4)危险化学品泄漏引发的突发环境事件;</w:t>
            </w:r>
          </w:p>
          <w:p>
            <w:pPr>
              <w:spacing w:line="360" w:lineRule="auto"/>
              <w:ind w:firstLine="420" w:firstLineChars="200"/>
              <w:rPr>
                <w:rFonts w:ascii="宋体" w:hAnsi="宋体"/>
                <w:szCs w:val="21"/>
              </w:rPr>
            </w:pPr>
            <w:r>
              <w:rPr>
                <w:rFonts w:hint="eastAsia" w:ascii="宋体" w:hAnsi="宋体"/>
                <w:szCs w:val="21"/>
              </w:rPr>
              <w:t>(5)危险化学品运输泄漏引发的突发环境事件</w:t>
            </w:r>
          </w:p>
          <w:p>
            <w:pPr>
              <w:spacing w:line="360" w:lineRule="auto"/>
              <w:ind w:firstLine="420" w:firstLineChars="200"/>
              <w:rPr>
                <w:rFonts w:ascii="宋体" w:hAnsi="宋体"/>
                <w:szCs w:val="21"/>
              </w:rPr>
            </w:pPr>
            <w:r>
              <w:rPr>
                <w:rFonts w:hint="eastAsia" w:ascii="宋体" w:hAnsi="宋体"/>
                <w:szCs w:val="21"/>
              </w:rPr>
              <w:t>(6)火灾及爆炸衍生的突发环境事件</w:t>
            </w:r>
          </w:p>
          <w:p>
            <w:pPr>
              <w:spacing w:line="360" w:lineRule="auto"/>
              <w:ind w:firstLine="420" w:firstLineChars="200"/>
              <w:rPr>
                <w:rFonts w:ascii="宋体" w:hAnsi="宋体"/>
                <w:szCs w:val="21"/>
              </w:rPr>
            </w:pPr>
            <w:r>
              <w:rPr>
                <w:rFonts w:hint="eastAsia" w:ascii="宋体" w:hAnsi="宋体"/>
                <w:szCs w:val="21"/>
              </w:rPr>
              <w:t>上述突发环境事件可以分为污染物控制在公司内和排出公司两种类型，将可能排出公司的突发环境事件视为不可控突发环境事件(级)，将可以控制在公司内的突发环境事件视为可控突发环境事件(Ⅱ级)，将可以控制在公司内员工可自行解决的突发环境事件视为可控突发环境事件(Ⅲ级)。</w:t>
            </w:r>
          </w:p>
          <w:p>
            <w:pPr>
              <w:spacing w:line="360" w:lineRule="auto"/>
              <w:ind w:firstLine="420" w:firstLineChars="200"/>
              <w:rPr>
                <w:rFonts w:ascii="楷体" w:hAnsi="楷体" w:eastAsia="楷体" w:cs="楷体"/>
                <w:sz w:val="24"/>
                <w:szCs w:val="24"/>
              </w:rPr>
            </w:pPr>
            <w:r>
              <w:rPr>
                <w:rFonts w:hint="eastAsia" w:ascii="宋体" w:hAnsi="宋体"/>
                <w:szCs w:val="21"/>
              </w:rPr>
              <w:t>确定了应急指挥机构、分析了环境风险、应急处置、应急保障措施，以应对环境的突发环境事件。</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968" w:type="dxa"/>
            <w:vAlign w:val="center"/>
          </w:tcPr>
          <w:p>
            <w:pPr>
              <w:tabs>
                <w:tab w:val="left" w:pos="6597"/>
              </w:tabs>
              <w:spacing w:line="360" w:lineRule="auto"/>
              <w:rPr>
                <w:szCs w:val="22"/>
              </w:rPr>
            </w:pPr>
            <w:r>
              <w:rPr>
                <w:rFonts w:hint="eastAsia" w:ascii="楷体" w:hAnsi="楷体" w:eastAsia="楷体" w:cs="楷体"/>
                <w:sz w:val="24"/>
                <w:szCs w:val="24"/>
              </w:rPr>
              <w:t xml:space="preserve">E9.1.1  </w:t>
            </w:r>
          </w:p>
        </w:tc>
        <w:tc>
          <w:tcPr>
            <w:tcW w:w="11591" w:type="dxa"/>
            <w:vAlign w:val="center"/>
          </w:tcPr>
          <w:p>
            <w:pPr>
              <w:spacing w:line="360" w:lineRule="auto"/>
              <w:rPr>
                <w:rFonts w:ascii="宋体" w:hAnsi="宋体"/>
                <w:szCs w:val="21"/>
              </w:rPr>
            </w:pPr>
            <w:r>
              <w:rPr>
                <w:rFonts w:hint="eastAsia" w:ascii="宋体" w:hAnsi="宋体"/>
                <w:szCs w:val="21"/>
              </w:rPr>
              <w:t>查到《环境目标指标考核表》，记录了公司各部门环境目标的完成情况，202</w:t>
            </w:r>
            <w:r>
              <w:rPr>
                <w:rFonts w:hint="eastAsia" w:ascii="宋体" w:hAnsi="宋体"/>
                <w:szCs w:val="21"/>
                <w:lang w:val="en-US" w:eastAsia="zh-CN"/>
              </w:rPr>
              <w:t>1</w:t>
            </w:r>
            <w:r>
              <w:rPr>
                <w:rFonts w:hint="eastAsia" w:ascii="宋体" w:hAnsi="宋体"/>
                <w:szCs w:val="21"/>
              </w:rPr>
              <w:t>年4月28完成情况：目标均已完成。</w:t>
            </w:r>
          </w:p>
          <w:p>
            <w:pPr>
              <w:spacing w:line="360" w:lineRule="auto"/>
              <w:rPr>
                <w:rFonts w:ascii="宋体" w:hAnsi="宋体"/>
                <w:szCs w:val="21"/>
              </w:rPr>
            </w:pPr>
            <w:r>
              <w:rPr>
                <w:rFonts w:hint="eastAsia" w:ascii="宋体" w:hAnsi="宋体"/>
                <w:szCs w:val="21"/>
              </w:rPr>
              <w:t>查到202</w:t>
            </w:r>
            <w:r>
              <w:rPr>
                <w:rFonts w:hint="eastAsia" w:ascii="宋体" w:hAnsi="宋体"/>
                <w:szCs w:val="21"/>
                <w:lang w:val="en-US" w:eastAsia="zh-CN"/>
              </w:rPr>
              <w:t>1</w:t>
            </w:r>
            <w:r>
              <w:rPr>
                <w:rFonts w:hint="eastAsia" w:ascii="宋体" w:hAnsi="宋体"/>
                <w:szCs w:val="21"/>
              </w:rPr>
              <w:t>.5.30日《环境管理方案检测表》，公司制定的管理方案措施7项已完成，其余的将在年底完成， 检查人：任国强   庞向军。</w:t>
            </w:r>
          </w:p>
          <w:p>
            <w:pPr>
              <w:spacing w:line="360" w:lineRule="auto"/>
              <w:rPr>
                <w:rFonts w:ascii="宋体" w:hAnsi="宋体"/>
                <w:szCs w:val="21"/>
              </w:rPr>
            </w:pPr>
            <w:r>
              <w:rPr>
                <w:rFonts w:hint="eastAsia" w:ascii="宋体" w:hAnsi="宋体"/>
                <w:szCs w:val="21"/>
              </w:rPr>
              <w:t>提供《环境安全管理检查记录》，每月对各部门进行环境安全事项的例行检查，检查项目包括资源能源使用、固体废弃物管理、污水控制、噪声控制、消防设施管理、管理方案控制等。</w:t>
            </w:r>
          </w:p>
          <w:tbl>
            <w:tblPr>
              <w:tblStyle w:val="9"/>
              <w:tblW w:w="10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8"/>
              <w:gridCol w:w="2150"/>
              <w:gridCol w:w="1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8" w:type="dxa"/>
                  <w:tcBorders>
                    <w:top w:val="single" w:color="auto" w:sz="4" w:space="0"/>
                    <w:left w:val="single" w:color="auto" w:sz="4" w:space="0"/>
                    <w:bottom w:val="single" w:color="auto" w:sz="4" w:space="0"/>
                    <w:right w:val="single" w:color="auto" w:sz="4" w:space="0"/>
                  </w:tcBorders>
                  <w:noWrap w:val="0"/>
                  <w:vAlign w:val="top"/>
                </w:tcPr>
                <w:p>
                  <w:pPr>
                    <w:tabs>
                      <w:tab w:val="left" w:pos="9210"/>
                    </w:tabs>
                    <w:jc w:val="center"/>
                    <w:rPr>
                      <w:sz w:val="21"/>
                      <w:szCs w:val="21"/>
                    </w:rPr>
                  </w:pPr>
                  <w:r>
                    <w:rPr>
                      <w:rFonts w:hint="eastAsia"/>
                      <w:sz w:val="21"/>
                      <w:szCs w:val="21"/>
                    </w:rPr>
                    <w:t>管理方案</w:t>
                  </w:r>
                </w:p>
              </w:tc>
              <w:tc>
                <w:tcPr>
                  <w:tcW w:w="2150" w:type="dxa"/>
                  <w:tcBorders>
                    <w:top w:val="single" w:color="auto" w:sz="4" w:space="0"/>
                    <w:left w:val="single" w:color="auto" w:sz="4" w:space="0"/>
                    <w:bottom w:val="single" w:color="auto" w:sz="4" w:space="0"/>
                    <w:right w:val="single" w:color="auto" w:sz="4" w:space="0"/>
                  </w:tcBorders>
                  <w:noWrap w:val="0"/>
                  <w:vAlign w:val="top"/>
                </w:tcPr>
                <w:p>
                  <w:pPr>
                    <w:tabs>
                      <w:tab w:val="left" w:pos="9210"/>
                    </w:tabs>
                    <w:jc w:val="center"/>
                    <w:rPr>
                      <w:sz w:val="21"/>
                      <w:szCs w:val="21"/>
                    </w:rPr>
                  </w:pPr>
                  <w:r>
                    <w:rPr>
                      <w:rFonts w:hint="eastAsia"/>
                      <w:sz w:val="21"/>
                      <w:szCs w:val="21"/>
                    </w:rPr>
                    <w:t>完成程度</w:t>
                  </w:r>
                </w:p>
              </w:tc>
              <w:tc>
                <w:tcPr>
                  <w:tcW w:w="1960" w:type="dxa"/>
                  <w:tcBorders>
                    <w:top w:val="single" w:color="auto" w:sz="4" w:space="0"/>
                    <w:left w:val="single" w:color="auto" w:sz="4" w:space="0"/>
                    <w:bottom w:val="single" w:color="auto" w:sz="4" w:space="0"/>
                    <w:right w:val="single" w:color="auto" w:sz="4" w:space="0"/>
                  </w:tcBorders>
                  <w:noWrap w:val="0"/>
                  <w:vAlign w:val="top"/>
                </w:tcPr>
                <w:p>
                  <w:pPr>
                    <w:tabs>
                      <w:tab w:val="left" w:pos="9210"/>
                    </w:tabs>
                    <w:jc w:val="center"/>
                    <w:rPr>
                      <w:sz w:val="21"/>
                      <w:szCs w:val="21"/>
                    </w:rPr>
                  </w:pPr>
                  <w:r>
                    <w:rPr>
                      <w:rFonts w:hint="eastAsia"/>
                      <w:sz w:val="21"/>
                      <w:szCs w:val="21"/>
                    </w:rPr>
                    <w:t>负责部门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加强节能宣传，推广节能产品。在设备、用品采购上优先考虑环保节能产品的选用。</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推广目标管理，做到日清月结，加强定额控制和成本核算工作。</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lang w:eastAsia="zh-CN"/>
                    </w:rPr>
                    <w:t>综合办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积极采用新工艺如：在今后工艺改进过程中尽量和临近企业合作，引进热力资源，节约本公司对于资、能源的消耗。</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对厂区现有管网、线路进行全面检查，对老化线路、管网进行更换，并结合厂区规划安排对于管线进行优化。</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根据厂区的整体规划，有步骤的实施更新改造，推广节能产品，减低能源消耗。</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对现有设备进行全面的普查检修，进行重点控制管理，堵漏降耗，节约能源。</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利用白板、培训等方式加大环境宣传力度，增强全员环境意识，提高自觉遵守能力。</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 w:val="21"/>
                      <w:szCs w:val="21"/>
                    </w:rPr>
                  </w:pPr>
                  <w:r>
                    <w:rPr>
                      <w:rFonts w:hint="eastAsia" w:ascii="宋体" w:hAnsi="宋体"/>
                      <w:sz w:val="21"/>
                      <w:szCs w:val="21"/>
                      <w:lang w:eastAsia="zh-CN"/>
                    </w:rPr>
                    <w:t>综合办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本公司综合办公室负责对各部门员工进行环境保护意识培训，各部门负责对本部门员工进行培训</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 w:val="21"/>
                      <w:szCs w:val="21"/>
                    </w:rPr>
                  </w:pPr>
                  <w:r>
                    <w:rPr>
                      <w:rFonts w:hint="eastAsia" w:ascii="宋体" w:hAnsi="宋体"/>
                      <w:sz w:val="21"/>
                      <w:szCs w:val="21"/>
                      <w:lang w:eastAsia="zh-CN"/>
                    </w:rPr>
                    <w:t>综合办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生产例会等专题会议上增加环境保护方面内容。</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对本部门的固体废弃物进行登记，按照有关法律法规要求和相关制度要求进行处理。设专人管理，定期检查处置。</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根据厂区现场管理的需要，新增固废垃圾箱1－2个。固废存放点1处，明确标识。将可回收和不可回收利用分类放置，指定专人管理。</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jc w:val="center"/>
                    <w:rPr>
                      <w:rFonts w:hint="eastAsia" w:ascii="宋体" w:hAnsi="宋体" w:eastAsia="宋体"/>
                      <w:sz w:val="21"/>
                      <w:szCs w:val="21"/>
                      <w:lang w:eastAsia="zh-CN"/>
                    </w:rPr>
                  </w:pPr>
                  <w:r>
                    <w:rPr>
                      <w:rFonts w:hint="eastAsia" w:ascii="宋体" w:hAnsi="宋体"/>
                      <w:sz w:val="21"/>
                      <w:szCs w:val="21"/>
                      <w:lang w:eastAsia="zh-CN"/>
                    </w:rPr>
                    <w:t>综合办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公司组织对各车间、班组、仓库等现场电源柜、电源线、等进行全面检查检修，对老化、裸露电闸电源线予以更换，确保安全使用。</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对产品和原材料等按规定分类存放、泄漏机油、润滑油等严格控制；更换和配齐经检定合格的干粉灭火器，严格管理制度，同时，确保水龙带完好。</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对库存物资进行分类并予以标识。使用后应及时分类堆放，防止泄漏和潜在隐患，配备必要消防器材。</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物资库：分类分级、整齐堆放、明确标识、车间内产品摆放整齐、废弃物、垃圾等固废及时清除，保证道路通畅。</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加强存放、运输、使用过程的管理，严格按管理规程行事，落实岗位质量责任制，严格考核管理。</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对各种产品标识、加盖、进行防护。</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jc w:val="center"/>
                    <w:rPr>
                      <w:rFonts w:hint="eastAsia" w:ascii="宋体" w:hAnsi="宋体"/>
                      <w:sz w:val="21"/>
                      <w:szCs w:val="21"/>
                    </w:rPr>
                  </w:pPr>
                  <w:r>
                    <w:rPr>
                      <w:rFonts w:hint="eastAsia" w:ascii="宋体" w:hAnsi="宋体"/>
                      <w:sz w:val="21"/>
                      <w:szCs w:val="21"/>
                    </w:rPr>
                    <w:t>生产部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加强员工管理，提高防火意识，厂区内严禁吸烟。</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.30已完成</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tabs>
                      <w:tab w:val="left" w:pos="9210"/>
                    </w:tabs>
                    <w:spacing w:line="0" w:lineRule="atLeast"/>
                    <w:jc w:val="center"/>
                    <w:rPr>
                      <w:rFonts w:hint="eastAsia" w:ascii="宋体" w:hAnsi="宋体" w:eastAsia="宋体"/>
                      <w:sz w:val="21"/>
                      <w:szCs w:val="21"/>
                      <w:lang w:eastAsia="zh-CN"/>
                    </w:rPr>
                  </w:pPr>
                  <w:r>
                    <w:rPr>
                      <w:rFonts w:hint="eastAsia" w:ascii="宋体" w:hAnsi="宋体"/>
                      <w:sz w:val="21"/>
                      <w:szCs w:val="21"/>
                      <w:lang w:eastAsia="zh-CN"/>
                    </w:rPr>
                    <w:t>综合办</w:t>
                  </w:r>
                </w:p>
              </w:tc>
            </w:tr>
          </w:tbl>
          <w:p>
            <w:pPr>
              <w:spacing w:line="360" w:lineRule="auto"/>
              <w:rPr>
                <w:rFonts w:hint="eastAsia"/>
                <w:sz w:val="21"/>
                <w:szCs w:val="21"/>
              </w:rPr>
            </w:pPr>
            <w:r>
              <w:rPr>
                <w:rFonts w:hint="eastAsia"/>
                <w:sz w:val="21"/>
                <w:szCs w:val="21"/>
              </w:rPr>
              <w:t>检查日期：20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月3日                     检查人：</w:t>
            </w:r>
            <w:r>
              <w:rPr>
                <w:rFonts w:hint="eastAsia"/>
                <w:sz w:val="21"/>
                <w:szCs w:val="21"/>
                <w:lang w:eastAsia="zh-CN"/>
              </w:rPr>
              <w:t>赵媛媛</w:t>
            </w:r>
            <w:r>
              <w:rPr>
                <w:rFonts w:hint="eastAsia"/>
                <w:sz w:val="21"/>
                <w:szCs w:val="21"/>
              </w:rPr>
              <w:t xml:space="preserve">   庞向军</w:t>
            </w:r>
          </w:p>
          <w:p>
            <w:pPr>
              <w:spacing w:line="360" w:lineRule="auto"/>
              <w:rPr>
                <w:rFonts w:hint="default" w:ascii="宋体" w:hAnsi="宋体" w:eastAsia="宋体"/>
                <w:color w:val="auto"/>
                <w:szCs w:val="21"/>
                <w:lang w:val="en-US" w:eastAsia="zh-CN"/>
              </w:rPr>
            </w:pPr>
            <w:r>
              <w:rPr>
                <w:rFonts w:hint="eastAsia" w:ascii="宋体" w:hAnsi="宋体"/>
                <w:color w:val="auto"/>
                <w:szCs w:val="21"/>
              </w:rPr>
              <w:t>提供202</w:t>
            </w:r>
            <w:r>
              <w:rPr>
                <w:rFonts w:hint="eastAsia" w:ascii="宋体" w:hAnsi="宋体"/>
                <w:color w:val="auto"/>
                <w:szCs w:val="21"/>
                <w:lang w:val="en-US" w:eastAsia="zh-CN"/>
              </w:rPr>
              <w:t>1</w:t>
            </w:r>
            <w:r>
              <w:rPr>
                <w:rFonts w:hint="eastAsia" w:ascii="宋体" w:hAnsi="宋体"/>
                <w:color w:val="auto"/>
                <w:szCs w:val="21"/>
              </w:rPr>
              <w:t>.7.2</w:t>
            </w:r>
            <w:r>
              <w:rPr>
                <w:rFonts w:hint="eastAsia" w:ascii="宋体" w:hAnsi="宋体"/>
                <w:color w:val="auto"/>
                <w:szCs w:val="21"/>
                <w:lang w:val="en-US" w:eastAsia="zh-CN"/>
              </w:rPr>
              <w:t>6</w:t>
            </w:r>
            <w:r>
              <w:rPr>
                <w:rFonts w:hint="eastAsia" w:ascii="宋体" w:hAnsi="宋体"/>
                <w:color w:val="auto"/>
                <w:szCs w:val="21"/>
              </w:rPr>
              <w:t>日由陕西</w:t>
            </w:r>
            <w:r>
              <w:rPr>
                <w:rFonts w:hint="eastAsia" w:ascii="宋体" w:hAnsi="宋体"/>
                <w:color w:val="auto"/>
                <w:szCs w:val="21"/>
                <w:lang w:val="en-US" w:eastAsia="zh-CN"/>
              </w:rPr>
              <w:t>源</w:t>
            </w:r>
            <w:r>
              <w:rPr>
                <w:rFonts w:hint="eastAsia" w:ascii="宋体" w:hAnsi="宋体"/>
                <w:color w:val="auto"/>
                <w:szCs w:val="21"/>
              </w:rPr>
              <w:t>泽检测科技有限公司，编号：</w:t>
            </w:r>
            <w:r>
              <w:rPr>
                <w:rFonts w:hint="eastAsia" w:ascii="宋体" w:hAnsi="宋体"/>
                <w:color w:val="auto"/>
                <w:szCs w:val="21"/>
                <w:lang w:val="en-US" w:eastAsia="zh-CN"/>
              </w:rPr>
              <w:t>源</w:t>
            </w:r>
            <w:r>
              <w:rPr>
                <w:rFonts w:hint="eastAsia" w:ascii="宋体" w:hAnsi="宋体"/>
                <w:color w:val="auto"/>
                <w:szCs w:val="21"/>
              </w:rPr>
              <w:t>泽环监字（202</w:t>
            </w:r>
            <w:r>
              <w:rPr>
                <w:rFonts w:hint="eastAsia" w:ascii="宋体" w:hAnsi="宋体"/>
                <w:color w:val="auto"/>
                <w:szCs w:val="21"/>
                <w:lang w:val="en-US" w:eastAsia="zh-CN"/>
              </w:rPr>
              <w:t>1</w:t>
            </w:r>
            <w:r>
              <w:rPr>
                <w:rFonts w:hint="eastAsia" w:ascii="宋体" w:hAnsi="宋体"/>
                <w:color w:val="auto"/>
                <w:szCs w:val="21"/>
              </w:rPr>
              <w:t>）第</w:t>
            </w:r>
            <w:r>
              <w:rPr>
                <w:rFonts w:hint="eastAsia" w:ascii="宋体" w:hAnsi="宋体"/>
                <w:color w:val="auto"/>
                <w:szCs w:val="21"/>
                <w:lang w:val="en-US" w:eastAsia="zh-CN"/>
              </w:rPr>
              <w:t>614</w:t>
            </w:r>
            <w:r>
              <w:rPr>
                <w:rFonts w:hint="eastAsia" w:ascii="宋体" w:hAnsi="宋体"/>
                <w:color w:val="auto"/>
                <w:szCs w:val="21"/>
              </w:rPr>
              <w:t>号《监测报告》</w:t>
            </w:r>
            <w:r>
              <w:rPr>
                <w:rFonts w:hint="eastAsia" w:ascii="宋体" w:hAnsi="宋体"/>
                <w:color w:val="auto"/>
                <w:szCs w:val="21"/>
                <w:lang w:val="en-US" w:eastAsia="zh-CN"/>
              </w:rPr>
              <w:t>以及</w:t>
            </w:r>
            <w:r>
              <w:rPr>
                <w:rFonts w:hint="eastAsia" w:ascii="宋体" w:hAnsi="宋体"/>
                <w:color w:val="auto"/>
                <w:szCs w:val="21"/>
              </w:rPr>
              <w:t>编号：</w:t>
            </w:r>
            <w:r>
              <w:rPr>
                <w:rFonts w:hint="eastAsia" w:ascii="宋体" w:hAnsi="宋体"/>
                <w:color w:val="auto"/>
                <w:szCs w:val="21"/>
                <w:lang w:val="en-US" w:eastAsia="zh-CN"/>
              </w:rPr>
              <w:t>源</w:t>
            </w:r>
            <w:r>
              <w:rPr>
                <w:rFonts w:hint="eastAsia" w:ascii="宋体" w:hAnsi="宋体"/>
                <w:color w:val="auto"/>
                <w:szCs w:val="21"/>
              </w:rPr>
              <w:t>泽环监字（202</w:t>
            </w:r>
            <w:r>
              <w:rPr>
                <w:rFonts w:hint="eastAsia" w:ascii="宋体" w:hAnsi="宋体"/>
                <w:color w:val="auto"/>
                <w:szCs w:val="21"/>
                <w:lang w:val="en-US" w:eastAsia="zh-CN"/>
              </w:rPr>
              <w:t>1</w:t>
            </w:r>
            <w:r>
              <w:rPr>
                <w:rFonts w:hint="eastAsia" w:ascii="宋体" w:hAnsi="宋体"/>
                <w:color w:val="auto"/>
                <w:szCs w:val="21"/>
              </w:rPr>
              <w:t>）第</w:t>
            </w:r>
            <w:r>
              <w:rPr>
                <w:rFonts w:hint="eastAsia" w:ascii="宋体" w:hAnsi="宋体"/>
                <w:color w:val="auto"/>
                <w:szCs w:val="21"/>
                <w:lang w:val="en-US" w:eastAsia="zh-CN"/>
              </w:rPr>
              <w:t>613</w:t>
            </w:r>
            <w:r>
              <w:rPr>
                <w:rFonts w:hint="eastAsia" w:ascii="宋体" w:hAnsi="宋体"/>
                <w:color w:val="auto"/>
                <w:szCs w:val="21"/>
              </w:rPr>
              <w:t>号《监测报告》，</w:t>
            </w:r>
            <w:r>
              <w:rPr>
                <w:rFonts w:hint="eastAsia" w:ascii="宋体" w:hAnsi="宋体"/>
                <w:color w:val="auto"/>
                <w:szCs w:val="21"/>
                <w:lang w:val="en-US" w:eastAsia="zh-CN"/>
              </w:rPr>
              <w:t>见附件。</w:t>
            </w:r>
          </w:p>
          <w:p>
            <w:pPr>
              <w:spacing w:line="360" w:lineRule="auto"/>
              <w:ind w:firstLine="420" w:firstLineChars="200"/>
              <w:rPr>
                <w:rFonts w:ascii="宋体" w:hAnsi="宋体"/>
                <w:szCs w:val="21"/>
              </w:rPr>
            </w:pPr>
            <w:r>
              <w:rPr>
                <w:rFonts w:hint="eastAsia" w:ascii="宋体" w:hAnsi="宋体"/>
                <w:szCs w:val="21"/>
              </w:rPr>
              <w:t>1、有组织废气：按非甲烷总烃和颗粒物标准限值参考《橡胶制品工业污染物排放标准GB27632-2011》表5的标准限值、硫化氢标准限值参考《恶臭污染物排放标准(GB14554-1993》表2的标准限值，检测结果：低于标准限值。</w:t>
            </w:r>
          </w:p>
          <w:p>
            <w:pPr>
              <w:spacing w:line="360" w:lineRule="auto"/>
              <w:ind w:firstLine="420" w:firstLineChars="200"/>
              <w:rPr>
                <w:rFonts w:ascii="宋体" w:hAnsi="宋体"/>
                <w:szCs w:val="21"/>
              </w:rPr>
            </w:pPr>
            <w:r>
              <w:rPr>
                <w:rFonts w:hint="eastAsia" w:ascii="宋体" w:hAnsi="宋体"/>
                <w:szCs w:val="21"/>
              </w:rPr>
              <w:t>2、无组织废气：按无组织颗粒物标准限值参考《橡胶制品工业污染物排放标准GB27632-2011》表6的标准限值、无组织非甲烷总烃标准限值参考《挥发性有机物排放控制标准(DB61T10612017)》表3的标准限值无组织硫化氢标准限值参考《恶臭污染物排放标准(GB14554-1993》表1的二级标准限值检测结果：低于标准限值。</w:t>
            </w:r>
          </w:p>
          <w:p>
            <w:pPr>
              <w:spacing w:line="360" w:lineRule="auto"/>
              <w:ind w:firstLine="420" w:firstLineChars="200"/>
              <w:rPr>
                <w:rFonts w:ascii="宋体" w:hAnsi="宋体"/>
                <w:szCs w:val="21"/>
              </w:rPr>
            </w:pPr>
            <w:r>
              <w:rPr>
                <w:rFonts w:hint="eastAsia" w:ascii="宋体" w:hAnsi="宋体"/>
                <w:szCs w:val="21"/>
              </w:rPr>
              <w:t>3、废水：检测项目：pH值、悬浮物、化学需氧量、五日生化需氧量、总磷、氨氮、总氮石油类等，检测结果满足要求。</w:t>
            </w:r>
          </w:p>
          <w:p>
            <w:pPr>
              <w:spacing w:line="360" w:lineRule="auto"/>
              <w:ind w:firstLine="420" w:firstLineChars="200"/>
              <w:rPr>
                <w:rFonts w:ascii="宋体" w:hAnsi="宋体"/>
                <w:szCs w:val="21"/>
              </w:rPr>
            </w:pPr>
            <w:r>
              <w:rPr>
                <w:rFonts w:hint="eastAsia" w:ascii="宋体" w:hAnsi="宋体"/>
                <w:szCs w:val="21"/>
              </w:rPr>
              <w:t>4、饮食业油烟：参考《饮食业油烟排放标准（试行）》GB 18483-2001附录A标准限制，检测结果为：符合标准表2标准限值要求。</w:t>
            </w:r>
          </w:p>
          <w:p>
            <w:pPr>
              <w:spacing w:line="360" w:lineRule="auto"/>
              <w:ind w:firstLine="420" w:firstLineChars="200"/>
              <w:rPr>
                <w:rFonts w:ascii="宋体" w:hAnsi="宋体"/>
                <w:szCs w:val="21"/>
              </w:rPr>
            </w:pPr>
            <w:r>
              <w:rPr>
                <w:rFonts w:hint="eastAsia" w:ascii="宋体" w:hAnsi="宋体"/>
                <w:szCs w:val="21"/>
              </w:rPr>
              <w:t>5、噪音：参考《工业企业厂界环境噪音声排放标准》GB 12348-2008，检测结果为：符合标准中2类区标准限值要求。</w:t>
            </w:r>
          </w:p>
          <w:p>
            <w:pPr>
              <w:spacing w:line="360" w:lineRule="auto"/>
              <w:ind w:firstLine="420" w:firstLineChars="200"/>
              <w:rPr>
                <w:rFonts w:hint="eastAsia" w:ascii="宋体" w:hAnsi="宋体"/>
                <w:szCs w:val="21"/>
              </w:rPr>
            </w:pPr>
            <w:r>
              <w:rPr>
                <w:rFonts w:hint="eastAsia" w:ascii="宋体" w:hAnsi="宋体"/>
                <w:szCs w:val="21"/>
              </w:rPr>
              <w:t>6、地下水：参考《地下水质量标准》GB/T 14848-2017标准，检测结果为：符合标准中Ⅲ类标准限值要求。</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tcPr>
          <w:p>
            <w:pPr>
              <w:rPr>
                <w:color w:val="auto"/>
                <w:szCs w:val="22"/>
              </w:rPr>
            </w:pPr>
          </w:p>
          <w:p>
            <w:pPr>
              <w:rPr>
                <w:color w:val="auto"/>
                <w:szCs w:val="22"/>
              </w:rPr>
            </w:pPr>
          </w:p>
          <w:p>
            <w:pPr>
              <w:rPr>
                <w:color w:val="auto"/>
                <w:szCs w:val="22"/>
              </w:rPr>
            </w:pPr>
          </w:p>
          <w:p>
            <w:pPr>
              <w:rPr>
                <w:color w:val="auto"/>
                <w:szCs w:val="22"/>
              </w:rPr>
            </w:pPr>
          </w:p>
          <w:p>
            <w:pPr>
              <w:rPr>
                <w:color w:val="auto"/>
                <w:szCs w:val="22"/>
              </w:rPr>
            </w:pPr>
          </w:p>
          <w:p>
            <w:pPr>
              <w:rPr>
                <w:color w:val="auto"/>
                <w:szCs w:val="22"/>
              </w:rPr>
            </w:pPr>
          </w:p>
          <w:p>
            <w:pPr>
              <w:rPr>
                <w:color w:val="auto"/>
                <w:szCs w:val="22"/>
              </w:rPr>
            </w:pPr>
            <w:r>
              <w:rPr>
                <w:rFonts w:hint="eastAsia"/>
                <w:color w:val="auto"/>
                <w:szCs w:val="22"/>
              </w:rPr>
              <w:t>内部审核</w:t>
            </w:r>
          </w:p>
        </w:tc>
        <w:tc>
          <w:tcPr>
            <w:tcW w:w="968" w:type="dxa"/>
          </w:tcPr>
          <w:p>
            <w:pPr>
              <w:rPr>
                <w:color w:val="auto"/>
                <w:szCs w:val="22"/>
              </w:rPr>
            </w:pPr>
          </w:p>
          <w:p>
            <w:pPr>
              <w:rPr>
                <w:color w:val="auto"/>
                <w:szCs w:val="22"/>
              </w:rPr>
            </w:pPr>
          </w:p>
          <w:p>
            <w:pPr>
              <w:rPr>
                <w:color w:val="auto"/>
                <w:szCs w:val="22"/>
              </w:rPr>
            </w:pPr>
          </w:p>
          <w:p>
            <w:pPr>
              <w:rPr>
                <w:color w:val="auto"/>
                <w:szCs w:val="22"/>
              </w:rPr>
            </w:pPr>
          </w:p>
          <w:p>
            <w:pPr>
              <w:rPr>
                <w:color w:val="auto"/>
                <w:szCs w:val="22"/>
              </w:rPr>
            </w:pPr>
          </w:p>
          <w:p>
            <w:pPr>
              <w:rPr>
                <w:color w:val="auto"/>
                <w:szCs w:val="22"/>
              </w:rPr>
            </w:pPr>
          </w:p>
          <w:p>
            <w:pPr>
              <w:rPr>
                <w:color w:val="auto"/>
              </w:rPr>
            </w:pPr>
            <w:r>
              <w:rPr>
                <w:rFonts w:hint="eastAsia"/>
                <w:color w:val="auto"/>
                <w:szCs w:val="22"/>
              </w:rPr>
              <w:t xml:space="preserve">9.2 </w:t>
            </w:r>
          </w:p>
        </w:tc>
        <w:tc>
          <w:tcPr>
            <w:tcW w:w="11591" w:type="dxa"/>
          </w:tcPr>
          <w:p>
            <w:pPr>
              <w:spacing w:line="360" w:lineRule="auto"/>
              <w:rPr>
                <w:rFonts w:ascii="宋体" w:hAnsi="宋体"/>
                <w:color w:val="auto"/>
                <w:szCs w:val="21"/>
              </w:rPr>
            </w:pPr>
            <w:r>
              <w:rPr>
                <w:rFonts w:hint="eastAsia" w:ascii="宋体" w:hAnsi="宋体"/>
                <w:color w:val="auto"/>
                <w:szCs w:val="21"/>
              </w:rPr>
              <w:t>由组长庞向军组织内部审核，查年度审核计划：提供《内部审核计划》，其内容已包括了审核目的、范围、依据、计划编制日期202</w:t>
            </w:r>
            <w:r>
              <w:rPr>
                <w:rFonts w:hint="eastAsia" w:ascii="宋体" w:hAnsi="宋体"/>
                <w:color w:val="auto"/>
                <w:szCs w:val="21"/>
                <w:lang w:val="en-US" w:eastAsia="zh-CN"/>
              </w:rPr>
              <w:t>1</w:t>
            </w:r>
            <w:r>
              <w:rPr>
                <w:rFonts w:hint="eastAsia" w:ascii="宋体" w:hAnsi="宋体"/>
                <w:color w:val="auto"/>
                <w:szCs w:val="21"/>
              </w:rPr>
              <w:t>.5.11日，编制：庞向军 审批：王斌。审核组构成：组长庞向军、组员</w:t>
            </w:r>
            <w:r>
              <w:rPr>
                <w:rFonts w:hint="eastAsia" w:ascii="宋体" w:hAnsi="宋体"/>
                <w:color w:val="auto"/>
                <w:szCs w:val="21"/>
                <w:lang w:val="en-US" w:eastAsia="zh-CN"/>
              </w:rPr>
              <w:t>赵丹妮  南海容  孔明扬</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1. 审核时间202</w:t>
            </w:r>
            <w:r>
              <w:rPr>
                <w:rFonts w:hint="eastAsia" w:ascii="宋体" w:hAnsi="宋体"/>
                <w:color w:val="auto"/>
                <w:szCs w:val="21"/>
                <w:lang w:val="en-US" w:eastAsia="zh-CN"/>
              </w:rPr>
              <w:t>1</w:t>
            </w:r>
            <w:r>
              <w:rPr>
                <w:rFonts w:hint="eastAsia" w:ascii="宋体" w:hAnsi="宋体"/>
                <w:color w:val="auto"/>
                <w:szCs w:val="21"/>
              </w:rPr>
              <w:t>年5月1</w:t>
            </w:r>
            <w:r>
              <w:rPr>
                <w:rFonts w:hint="eastAsia" w:ascii="宋体" w:hAnsi="宋体"/>
                <w:color w:val="auto"/>
                <w:szCs w:val="21"/>
                <w:lang w:val="en-US" w:eastAsia="zh-CN"/>
              </w:rPr>
              <w:t>8</w:t>
            </w:r>
            <w:r>
              <w:rPr>
                <w:rFonts w:hint="eastAsia" w:ascii="宋体" w:hAnsi="宋体"/>
                <w:color w:val="auto"/>
                <w:szCs w:val="21"/>
              </w:rPr>
              <w:t>日。</w:t>
            </w:r>
          </w:p>
          <w:p>
            <w:pPr>
              <w:spacing w:line="360" w:lineRule="auto"/>
              <w:rPr>
                <w:rFonts w:ascii="宋体" w:hAnsi="宋体"/>
                <w:color w:val="auto"/>
                <w:szCs w:val="21"/>
              </w:rPr>
            </w:pPr>
            <w:r>
              <w:rPr>
                <w:rFonts w:hint="eastAsia" w:ascii="宋体" w:hAnsi="宋体"/>
                <w:color w:val="auto"/>
                <w:szCs w:val="21"/>
              </w:rPr>
              <w:t>2.审核按计划进行，抽查检查表综合办、生产部、实验中心审核记录与计划相一致，4名内审员经内部培训合格，能力还需加强；</w:t>
            </w:r>
          </w:p>
          <w:p>
            <w:pPr>
              <w:spacing w:line="360" w:lineRule="auto"/>
              <w:rPr>
                <w:rFonts w:ascii="宋体" w:hAnsi="宋体"/>
                <w:color w:val="auto"/>
                <w:szCs w:val="21"/>
              </w:rPr>
            </w:pPr>
            <w:r>
              <w:rPr>
                <w:rFonts w:hint="eastAsia" w:ascii="宋体" w:hAnsi="宋体"/>
                <w:color w:val="auto"/>
                <w:szCs w:val="21"/>
              </w:rPr>
              <w:t>审核计划已考虑到互查的公正性，无审核员审核本部门的工作，计划内容涉及各部门，条款覆盖整个体系。本次内审发现2个一般不符合项，针对这2个不合格，综合办已分析了原因并采取了纠正措施，按要</w:t>
            </w:r>
            <w:bookmarkStart w:id="0" w:name="_GoBack"/>
            <w:bookmarkEnd w:id="0"/>
            <w:r>
              <w:rPr>
                <w:rFonts w:hint="eastAsia" w:ascii="宋体" w:hAnsi="宋体"/>
                <w:color w:val="auto"/>
                <w:szCs w:val="21"/>
              </w:rPr>
              <w:t>求进行了整改，最后内审员进行了验证，纠正措施实施有效。</w:t>
            </w:r>
          </w:p>
          <w:p>
            <w:pPr>
              <w:spacing w:line="360" w:lineRule="auto"/>
              <w:rPr>
                <w:color w:val="auto"/>
              </w:rPr>
            </w:pPr>
            <w:r>
              <w:rPr>
                <w:rFonts w:hint="eastAsia" w:ascii="宋体" w:hAnsi="宋体"/>
                <w:color w:val="auto"/>
                <w:szCs w:val="21"/>
              </w:rPr>
              <w:t>内部审核结论：提供了《内部审核报告》，对现场审核进行了综述，对环境管理体系进行了符合性的综合评价，最后结论为：公司的环境管理体系基本符合标准要求，运行有效。</w:t>
            </w:r>
          </w:p>
        </w:tc>
        <w:tc>
          <w:tcPr>
            <w:tcW w:w="5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rPr>
                <w:szCs w:val="22"/>
              </w:rPr>
            </w:pPr>
            <w:r>
              <w:rPr>
                <w:rFonts w:hint="eastAsia"/>
                <w:szCs w:val="22"/>
              </w:rPr>
              <w:t>不合格和纠正措施</w:t>
            </w:r>
          </w:p>
        </w:tc>
        <w:tc>
          <w:tcPr>
            <w:tcW w:w="968" w:type="dxa"/>
          </w:tcPr>
          <w:p>
            <w:pPr>
              <w:rPr>
                <w:szCs w:val="22"/>
              </w:rPr>
            </w:pPr>
            <w:r>
              <w:rPr>
                <w:rFonts w:hint="eastAsia"/>
                <w:szCs w:val="22"/>
              </w:rPr>
              <w:t>10.2</w:t>
            </w:r>
          </w:p>
        </w:tc>
        <w:tc>
          <w:tcPr>
            <w:tcW w:w="11591" w:type="dxa"/>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542" w:type="dxa"/>
          </w:tcPr>
          <w:p/>
        </w:tc>
      </w:tr>
    </w:tbl>
    <w:p>
      <w:r>
        <w:ptab w:relativeTo="margin" w:alignment="center" w:leader="none"/>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01A39"/>
    <w:rsid w:val="00115B23"/>
    <w:rsid w:val="00167258"/>
    <w:rsid w:val="001A2D7F"/>
    <w:rsid w:val="002939AD"/>
    <w:rsid w:val="00337922"/>
    <w:rsid w:val="00340867"/>
    <w:rsid w:val="00380837"/>
    <w:rsid w:val="003A198A"/>
    <w:rsid w:val="003D1342"/>
    <w:rsid w:val="00410914"/>
    <w:rsid w:val="00536930"/>
    <w:rsid w:val="00564E53"/>
    <w:rsid w:val="005D5659"/>
    <w:rsid w:val="00600C20"/>
    <w:rsid w:val="00644FE2"/>
    <w:rsid w:val="0067640C"/>
    <w:rsid w:val="006E678B"/>
    <w:rsid w:val="007757F3"/>
    <w:rsid w:val="007E6AEB"/>
    <w:rsid w:val="008973EE"/>
    <w:rsid w:val="008F2282"/>
    <w:rsid w:val="009642EC"/>
    <w:rsid w:val="00971600"/>
    <w:rsid w:val="009973B4"/>
    <w:rsid w:val="009C28C1"/>
    <w:rsid w:val="009F7EED"/>
    <w:rsid w:val="00A80636"/>
    <w:rsid w:val="00AF0AAB"/>
    <w:rsid w:val="00BF597E"/>
    <w:rsid w:val="00C0118A"/>
    <w:rsid w:val="00C51A36"/>
    <w:rsid w:val="00C55228"/>
    <w:rsid w:val="00CE315A"/>
    <w:rsid w:val="00CF7B08"/>
    <w:rsid w:val="00D06F59"/>
    <w:rsid w:val="00D8388C"/>
    <w:rsid w:val="00E407A5"/>
    <w:rsid w:val="00E6224C"/>
    <w:rsid w:val="00EB0164"/>
    <w:rsid w:val="00EC7076"/>
    <w:rsid w:val="00ED0F62"/>
    <w:rsid w:val="01283A58"/>
    <w:rsid w:val="067454D1"/>
    <w:rsid w:val="06CA6B4A"/>
    <w:rsid w:val="092B7B0A"/>
    <w:rsid w:val="09550859"/>
    <w:rsid w:val="09F379A5"/>
    <w:rsid w:val="0BFE20C2"/>
    <w:rsid w:val="0F9F2C39"/>
    <w:rsid w:val="108219C2"/>
    <w:rsid w:val="110C4105"/>
    <w:rsid w:val="111437D9"/>
    <w:rsid w:val="114D6247"/>
    <w:rsid w:val="11C85183"/>
    <w:rsid w:val="1470136A"/>
    <w:rsid w:val="17825B24"/>
    <w:rsid w:val="1A050FCC"/>
    <w:rsid w:val="1E343981"/>
    <w:rsid w:val="216E008D"/>
    <w:rsid w:val="261D4DB3"/>
    <w:rsid w:val="2A672DA1"/>
    <w:rsid w:val="2A8B3B1A"/>
    <w:rsid w:val="2C0A469E"/>
    <w:rsid w:val="2C502AE1"/>
    <w:rsid w:val="2D2C2FE9"/>
    <w:rsid w:val="2D975FE0"/>
    <w:rsid w:val="2EE943D5"/>
    <w:rsid w:val="34BB1BE7"/>
    <w:rsid w:val="34E54193"/>
    <w:rsid w:val="35C63B06"/>
    <w:rsid w:val="36A82426"/>
    <w:rsid w:val="37893FD3"/>
    <w:rsid w:val="3AA84902"/>
    <w:rsid w:val="3C0E5144"/>
    <w:rsid w:val="3D7D0BB7"/>
    <w:rsid w:val="43E54558"/>
    <w:rsid w:val="46A05244"/>
    <w:rsid w:val="481A2318"/>
    <w:rsid w:val="4BEB3BEE"/>
    <w:rsid w:val="4DB72E73"/>
    <w:rsid w:val="4E62147A"/>
    <w:rsid w:val="505C3145"/>
    <w:rsid w:val="509C25D5"/>
    <w:rsid w:val="524F053D"/>
    <w:rsid w:val="53D67FCD"/>
    <w:rsid w:val="54267658"/>
    <w:rsid w:val="582F271D"/>
    <w:rsid w:val="5A3D205F"/>
    <w:rsid w:val="5AAF6A77"/>
    <w:rsid w:val="5BED7DD8"/>
    <w:rsid w:val="5C2D725C"/>
    <w:rsid w:val="5EA12B9A"/>
    <w:rsid w:val="663E594B"/>
    <w:rsid w:val="66EB6CF4"/>
    <w:rsid w:val="6C8E03BD"/>
    <w:rsid w:val="70023DD7"/>
    <w:rsid w:val="73D817B3"/>
    <w:rsid w:val="755E1812"/>
    <w:rsid w:val="76BB5C15"/>
    <w:rsid w:val="7B307D45"/>
    <w:rsid w:val="7B335210"/>
    <w:rsid w:val="7D142775"/>
    <w:rsid w:val="7DC728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jc w:val="center"/>
    </w:pPr>
    <w:rPr>
      <w:sz w:val="18"/>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1225</Words>
  <Characters>6983</Characters>
  <Lines>58</Lines>
  <Paragraphs>16</Paragraphs>
  <TotalTime>1</TotalTime>
  <ScaleCrop>false</ScaleCrop>
  <LinksUpToDate>false</LinksUpToDate>
  <CharactersWithSpaces>8192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2021-09-13T07:52:41Z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41AAFF947A65499A949C81F9972977AF</vt:lpwstr>
  </property>
</Properties>
</file>