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220"/>
        <w:gridCol w:w="1004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4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2220" w:type="dxa"/>
            <w:vMerge w:val="restart"/>
            <w:vAlign w:val="center"/>
          </w:tcPr>
          <w:p>
            <w:pPr>
              <w:jc w:val="center"/>
              <w:rPr>
                <w:rFonts w:hint="eastAsia" w:eastAsia="宋体"/>
                <w:sz w:val="24"/>
                <w:szCs w:val="24"/>
                <w:lang w:val="en-US" w:eastAsia="zh-CN"/>
              </w:rPr>
            </w:pPr>
            <w:r>
              <w:rPr>
                <w:rFonts w:hint="eastAsia"/>
                <w:sz w:val="24"/>
                <w:szCs w:val="24"/>
              </w:rPr>
              <w:t>涉及</w:t>
            </w:r>
            <w:r>
              <w:rPr>
                <w:rFonts w:hint="eastAsia"/>
                <w:sz w:val="24"/>
                <w:szCs w:val="24"/>
                <w:lang w:val="en-US" w:eastAsia="zh-CN"/>
              </w:rPr>
              <w:t>-</w:t>
            </w:r>
          </w:p>
          <w:p>
            <w:pPr>
              <w:jc w:val="center"/>
            </w:pPr>
            <w:r>
              <w:rPr>
                <w:rFonts w:hint="eastAsia"/>
                <w:sz w:val="24"/>
                <w:szCs w:val="24"/>
              </w:rPr>
              <w:t>条款</w:t>
            </w:r>
          </w:p>
        </w:tc>
        <w:tc>
          <w:tcPr>
            <w:tcW w:w="10040" w:type="dxa"/>
            <w:vAlign w:val="center"/>
          </w:tcPr>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受审核部门：综合部        主管领导：</w:t>
            </w:r>
            <w:r>
              <w:rPr>
                <w:rFonts w:hint="eastAsia" w:cs="Times New Roman"/>
                <w:szCs w:val="22"/>
                <w:lang w:val="en-US" w:eastAsia="zh-CN"/>
              </w:rPr>
              <w:t>邢英杰</w:t>
            </w:r>
            <w:r>
              <w:rPr>
                <w:rFonts w:hint="eastAsia" w:ascii="Times New Roman" w:hAnsi="Times New Roman" w:eastAsia="宋体" w:cs="Times New Roman"/>
                <w:szCs w:val="22"/>
                <w:lang w:val="en-US" w:eastAsia="zh-CN"/>
              </w:rPr>
              <w:t xml:space="preserve">           陪同人员：</w:t>
            </w:r>
            <w:r>
              <w:rPr>
                <w:rFonts w:hint="eastAsia" w:cs="Times New Roman"/>
                <w:szCs w:val="22"/>
                <w:lang w:val="en-US" w:eastAsia="zh-CN"/>
              </w:rPr>
              <w:t>黄蓉玉</w:t>
            </w:r>
          </w:p>
        </w:tc>
        <w:tc>
          <w:tcPr>
            <w:tcW w:w="1002" w:type="dxa"/>
            <w:vMerge w:val="restart"/>
            <w:vAlign w:val="center"/>
          </w:tcPr>
          <w:p>
            <w:pPr>
              <w:rPr>
                <w:sz w:val="24"/>
                <w:szCs w:val="24"/>
              </w:rPr>
            </w:pPr>
            <w:r>
              <w:rPr>
                <w:rFonts w:hint="eastAsia"/>
                <w:sz w:val="24"/>
                <w:szCs w:val="24"/>
              </w:rPr>
              <w:t>判</w:t>
            </w:r>
            <w:r>
              <w:rPr>
                <w:rFonts w:hint="eastAsia"/>
                <w:sz w:val="24"/>
                <w:szCs w:val="24"/>
                <w:lang w:val="en-US" w:eastAsia="zh-CN"/>
              </w:rPr>
              <w:t xml:space="preserve"> </w:t>
            </w:r>
            <w:r>
              <w:rPr>
                <w:rFonts w:hint="eastAsia"/>
                <w:sz w:val="24"/>
                <w:szCs w:val="24"/>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7" w:type="dxa"/>
            <w:vMerge w:val="continue"/>
            <w:vAlign w:val="center"/>
          </w:tcPr>
          <w:p/>
        </w:tc>
        <w:tc>
          <w:tcPr>
            <w:tcW w:w="2220" w:type="dxa"/>
            <w:vMerge w:val="continue"/>
            <w:vAlign w:val="center"/>
          </w:tcPr>
          <w:p/>
        </w:tc>
        <w:tc>
          <w:tcPr>
            <w:tcW w:w="10040" w:type="dxa"/>
            <w:vAlign w:val="center"/>
          </w:tcPr>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审核员：</w:t>
            </w:r>
            <w:r>
              <w:rPr>
                <w:rFonts w:hint="eastAsia" w:cs="Times New Roman"/>
                <w:szCs w:val="22"/>
                <w:lang w:val="en-US" w:eastAsia="zh-CN"/>
              </w:rPr>
              <w:t>温红玲</w:t>
            </w:r>
            <w:r>
              <w:rPr>
                <w:rFonts w:hint="eastAsia" w:ascii="Times New Roman" w:hAnsi="Times New Roman" w:eastAsia="宋体" w:cs="Times New Roman"/>
                <w:szCs w:val="22"/>
                <w:lang w:val="en-US" w:eastAsia="zh-CN"/>
              </w:rPr>
              <w:t xml:space="preserve">          审核时间：</w:t>
            </w:r>
            <w:r>
              <w:rPr>
                <w:rFonts w:hint="eastAsia" w:cs="Times New Roman"/>
                <w:szCs w:val="22"/>
                <w:lang w:val="en-US" w:eastAsia="zh-CN"/>
              </w:rPr>
              <w:t>2021.9.13</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7" w:type="dxa"/>
            <w:vMerge w:val="continue"/>
            <w:vAlign w:val="center"/>
          </w:tcPr>
          <w:p/>
        </w:tc>
        <w:tc>
          <w:tcPr>
            <w:tcW w:w="2220" w:type="dxa"/>
            <w:vMerge w:val="continue"/>
            <w:vAlign w:val="center"/>
          </w:tcPr>
          <w:p/>
        </w:tc>
        <w:tc>
          <w:tcPr>
            <w:tcW w:w="10040" w:type="dxa"/>
            <w:vAlign w:val="center"/>
          </w:tcPr>
          <w:p>
            <w:pPr>
              <w:rPr>
                <w:rFonts w:hint="eastAsia"/>
                <w:sz w:val="24"/>
                <w:szCs w:val="24"/>
              </w:rPr>
            </w:pPr>
            <w:r>
              <w:rPr>
                <w:rFonts w:hint="eastAsia"/>
                <w:sz w:val="24"/>
                <w:szCs w:val="24"/>
              </w:rPr>
              <w:t>审核条款：</w:t>
            </w:r>
          </w:p>
          <w:p>
            <w:pPr>
              <w:spacing w:line="240" w:lineRule="exact"/>
              <w:rPr>
                <w:rFonts w:hint="eastAsia" w:ascii="宋体" w:hAnsi="宋体" w:eastAsia="宋体" w:cs="Arial"/>
                <w:sz w:val="21"/>
                <w:szCs w:val="21"/>
              </w:rPr>
            </w:pPr>
            <w:r>
              <w:rPr>
                <w:rFonts w:hint="eastAsia" w:ascii="宋体" w:hAnsi="宋体" w:eastAsia="宋体" w:cs="Arial"/>
                <w:sz w:val="21"/>
                <w:szCs w:val="21"/>
              </w:rPr>
              <w:t xml:space="preserve">QMS: 5.3组织的岗位、职责和权限、6.2质量目标、6.3变更的策划、9.1.3分析与评价、9.2 内部审核、10.2不合格和纠正措施， </w:t>
            </w:r>
          </w:p>
          <w:p>
            <w:pPr>
              <w:spacing w:line="240" w:lineRule="exact"/>
              <w:rPr>
                <w:sz w:val="24"/>
                <w:szCs w:val="24"/>
              </w:rPr>
            </w:pPr>
            <w:r>
              <w:rPr>
                <w:rFonts w:hint="eastAsia" w:ascii="宋体" w:hAnsi="宋体" w:eastAsia="宋体" w:cs="Arial"/>
                <w:sz w:val="21"/>
                <w:szCs w:val="21"/>
              </w:rPr>
              <w:t>E: 5.3组织的岗位、职责和权限、6.2.1环境/职业健康安全目标、6.2.2实现环境/职业健康安全目标措施的策划8.1运行策划和控制、8.2应急准备和响应，9.2 内部审核、10.2不符合/事件和纠正措施</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default" w:eastAsia="宋体"/>
                <w:lang w:val="en-US" w:eastAsia="zh-CN"/>
              </w:rPr>
            </w:pPr>
            <w:r>
              <w:rPr>
                <w:rFonts w:hint="eastAsia" w:ascii="宋体" w:hAnsi="宋体" w:eastAsia="宋体" w:cs="宋体"/>
                <w:color w:val="000000"/>
                <w:kern w:val="0"/>
                <w:sz w:val="20"/>
                <w:szCs w:val="20"/>
                <w:lang w:val="en-US" w:eastAsia="zh-CN" w:bidi="ar"/>
              </w:rPr>
              <w:t>岗位、职责和权限</w:t>
            </w:r>
          </w:p>
        </w:tc>
        <w:tc>
          <w:tcPr>
            <w:tcW w:w="2220" w:type="dxa"/>
          </w:tcPr>
          <w:p>
            <w:pPr>
              <w:pStyle w:val="10"/>
              <w:rPr>
                <w:rFonts w:hint="default"/>
                <w:lang w:val="en-US" w:eastAsia="zh-CN"/>
              </w:rPr>
            </w:pPr>
            <w:r>
              <w:rPr>
                <w:rFonts w:hint="eastAsia"/>
                <w:lang w:val="en-US" w:eastAsia="zh-CN"/>
              </w:rPr>
              <w:t>QE5.3</w:t>
            </w:r>
          </w:p>
        </w:tc>
        <w:tc>
          <w:tcPr>
            <w:tcW w:w="10040" w:type="dxa"/>
          </w:tcPr>
          <w:p>
            <w:pPr>
              <w:rPr>
                <w:rFonts w:hint="eastAsia"/>
                <w:szCs w:val="22"/>
                <w:lang w:val="en-US" w:eastAsia="zh-CN"/>
              </w:rPr>
            </w:pPr>
            <w:r>
              <w:rPr>
                <w:rFonts w:hint="eastAsia"/>
                <w:szCs w:val="22"/>
                <w:lang w:val="en-US" w:eastAsia="zh-CN"/>
              </w:rPr>
              <w:t>综合部共1人，主任1人。</w:t>
            </w:r>
          </w:p>
          <w:p>
            <w:pPr>
              <w:rPr>
                <w:rFonts w:hint="eastAsia"/>
                <w:szCs w:val="22"/>
                <w:lang w:val="en-US" w:eastAsia="zh-CN"/>
              </w:rPr>
            </w:pPr>
            <w:r>
              <w:rPr>
                <w:rFonts w:hint="eastAsia"/>
                <w:szCs w:val="22"/>
                <w:lang w:val="en-US" w:eastAsia="zh-CN"/>
              </w:rPr>
              <w:t>职责：</w:t>
            </w:r>
          </w:p>
          <w:p>
            <w:pPr>
              <w:rPr>
                <w:rFonts w:hint="eastAsia"/>
                <w:szCs w:val="22"/>
                <w:lang w:val="en-US" w:eastAsia="zh-CN"/>
              </w:rPr>
            </w:pPr>
            <w:r>
              <w:rPr>
                <w:rFonts w:hint="eastAsia"/>
                <w:szCs w:val="22"/>
                <w:lang w:val="en-US" w:eastAsia="zh-CN"/>
              </w:rPr>
              <w:t>• 归口管理质量环境安全管理体系文件、技术标准类文件和其他管理类文件； 负责公司档案的管理工作；负责公司各类资质的申报、文件的管理更新；</w:t>
            </w:r>
          </w:p>
          <w:p>
            <w:pPr>
              <w:rPr>
                <w:rFonts w:hint="eastAsia"/>
                <w:szCs w:val="22"/>
                <w:lang w:val="en-US" w:eastAsia="zh-CN"/>
              </w:rPr>
            </w:pPr>
            <w:r>
              <w:rPr>
                <w:rFonts w:hint="eastAsia"/>
                <w:szCs w:val="22"/>
                <w:lang w:val="en-US" w:eastAsia="zh-CN"/>
              </w:rPr>
              <w:t>• 负责公司人力资源的规划、管理、开发和培训等制度体系的建立、实施和完善；组织专业技术职称评审和技术岗位、特殊岗位上岗资格评审工作等；</w:t>
            </w:r>
          </w:p>
          <w:p>
            <w:pPr>
              <w:rPr>
                <w:rFonts w:hint="eastAsia"/>
                <w:szCs w:val="22"/>
                <w:lang w:val="en-US" w:eastAsia="zh-CN"/>
              </w:rPr>
            </w:pPr>
            <w:r>
              <w:rPr>
                <w:rFonts w:hint="eastAsia"/>
                <w:szCs w:val="22"/>
                <w:lang w:val="en-US" w:eastAsia="zh-CN"/>
              </w:rPr>
              <w:t>•  负责公司总体绩效考核体系的建立、组织、实施和完善；</w:t>
            </w:r>
          </w:p>
          <w:p>
            <w:pPr>
              <w:rPr>
                <w:rFonts w:hint="eastAsia"/>
                <w:szCs w:val="22"/>
                <w:lang w:val="en-US" w:eastAsia="zh-CN"/>
              </w:rPr>
            </w:pPr>
            <w:r>
              <w:rPr>
                <w:rFonts w:hint="eastAsia"/>
                <w:szCs w:val="22"/>
                <w:lang w:val="en-US" w:eastAsia="zh-CN"/>
              </w:rPr>
              <w:t>•  负责质量/环境/职业健康安全管理体系目标分解，负责质量/环境/职业健康安全管理体系运行中的组织、协调、监督、检查工作；</w:t>
            </w:r>
          </w:p>
          <w:p>
            <w:pPr>
              <w:rPr>
                <w:rFonts w:hint="default"/>
                <w:szCs w:val="22"/>
                <w:lang w:val="en-US" w:eastAsia="zh-CN"/>
              </w:rPr>
            </w:pPr>
            <w:r>
              <w:rPr>
                <w:rFonts w:hint="eastAsia"/>
                <w:szCs w:val="22"/>
                <w:lang w:val="en-US" w:eastAsia="zh-CN"/>
              </w:rPr>
              <w:t>• 负责收集整理，并定期更新与本公司业务相关的法律法规及其他要求；</w:t>
            </w:r>
          </w:p>
          <w:p>
            <w:pPr>
              <w:rPr>
                <w:rFonts w:hint="eastAsia"/>
                <w:szCs w:val="22"/>
                <w:lang w:val="en-US" w:eastAsia="zh-CN"/>
              </w:rPr>
            </w:pPr>
            <w:r>
              <w:rPr>
                <w:rFonts w:hint="eastAsia"/>
                <w:szCs w:val="22"/>
                <w:lang w:val="en-US" w:eastAsia="zh-CN"/>
              </w:rPr>
              <w:t>• 负责公司合规性评价、应急准备和响应工作的统一归口管理；</w:t>
            </w:r>
          </w:p>
          <w:p>
            <w:pPr>
              <w:rPr>
                <w:rFonts w:hint="eastAsia"/>
                <w:szCs w:val="22"/>
                <w:lang w:val="en-US" w:eastAsia="zh-CN"/>
              </w:rPr>
            </w:pPr>
            <w:r>
              <w:rPr>
                <w:rFonts w:hint="eastAsia"/>
                <w:szCs w:val="22"/>
                <w:lang w:val="en-US" w:eastAsia="zh-CN"/>
              </w:rPr>
              <w:t>• 负责本部门环境因素和危险源的识别和评价，进行必要的更新；</w:t>
            </w:r>
          </w:p>
          <w:p>
            <w:pPr>
              <w:rPr>
                <w:rFonts w:hint="eastAsia"/>
                <w:szCs w:val="22"/>
                <w:lang w:val="en-US" w:eastAsia="zh-CN"/>
              </w:rPr>
            </w:pPr>
            <w:r>
              <w:rPr>
                <w:rFonts w:hint="eastAsia"/>
                <w:szCs w:val="22"/>
                <w:lang w:val="en-US" w:eastAsia="zh-CN"/>
              </w:rPr>
              <w:t>• 负责本部门应急准备和响应计划落实及应急情况的善后处理，包括本部门应急准备的物资管理。</w:t>
            </w:r>
          </w:p>
          <w:p>
            <w:pPr>
              <w:rPr>
                <w:rFonts w:hint="default"/>
                <w:szCs w:val="22"/>
                <w:lang w:val="en-US" w:eastAsia="zh-CN"/>
              </w:rPr>
            </w:pPr>
            <w:r>
              <w:rPr>
                <w:rFonts w:hint="eastAsia"/>
                <w:szCs w:val="22"/>
                <w:lang w:val="en-US" w:eastAsia="zh-CN"/>
              </w:rPr>
              <w:t>•  负责检测检定服务管理的日常检查工作，负责办公设备及用品的采购、验收及日常的维护和维修。</w:t>
            </w:r>
          </w:p>
        </w:tc>
        <w:tc>
          <w:tcPr>
            <w:tcW w:w="1002" w:type="dxa"/>
          </w:tcPr>
          <w:p>
            <w:pPr>
              <w:pStyle w:val="10"/>
              <w:rPr>
                <w:rFonts w:hint="eastAsia"/>
                <w:lang w:val="en-US" w:eastAsia="zh-CN"/>
              </w:rPr>
            </w:pPr>
            <w:r>
              <w:rPr>
                <w:rFonts w:hint="eastAsia"/>
                <w:lang w:val="en-US" w:eastAsia="zh-CN"/>
              </w:rPr>
              <w:t xml:space="preserve"> </w:t>
            </w: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ind w:firstLine="230" w:firstLineChars="100"/>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rPr>
                <w:rFonts w:hint="eastAsia" w:eastAsia="宋体"/>
                <w:lang w:val="en-US" w:eastAsia="zh-CN"/>
              </w:rPr>
            </w:pPr>
            <w:r>
              <w:rPr>
                <w:rFonts w:hint="eastAsia"/>
              </w:rPr>
              <w:t>目标及其实现的策划</w:t>
            </w:r>
          </w:p>
        </w:tc>
        <w:tc>
          <w:tcPr>
            <w:tcW w:w="2220" w:type="dxa"/>
          </w:tcPr>
          <w:p>
            <w:pPr>
              <w:pStyle w:val="10"/>
              <w:rPr>
                <w:rFonts w:hint="eastAsia"/>
                <w:lang w:val="en-US" w:eastAsia="zh-CN"/>
              </w:rPr>
            </w:pPr>
            <w:r>
              <w:rPr>
                <w:rFonts w:hint="eastAsia"/>
                <w:lang w:val="en-US" w:eastAsia="zh-CN"/>
              </w:rPr>
              <w:t>Q6.2</w:t>
            </w:r>
          </w:p>
          <w:p>
            <w:pPr>
              <w:pStyle w:val="10"/>
              <w:rPr>
                <w:rFonts w:hint="default"/>
                <w:lang w:val="en-US" w:eastAsia="zh-CN"/>
              </w:rPr>
            </w:pPr>
            <w:r>
              <w:rPr>
                <w:rFonts w:hint="eastAsia"/>
                <w:lang w:val="en-US" w:eastAsia="zh-CN"/>
              </w:rPr>
              <w:t>E6.2.1</w:t>
            </w:r>
          </w:p>
          <w:p>
            <w:pPr>
              <w:pStyle w:val="10"/>
              <w:rPr>
                <w:rFonts w:hint="default"/>
                <w:lang w:val="en-US" w:eastAsia="zh-CN"/>
              </w:rPr>
            </w:pPr>
            <w:r>
              <w:rPr>
                <w:rFonts w:hint="eastAsia"/>
                <w:lang w:val="en-US" w:eastAsia="zh-CN"/>
              </w:rPr>
              <w:t>E6.2.2</w:t>
            </w:r>
          </w:p>
        </w:tc>
        <w:tc>
          <w:tcPr>
            <w:tcW w:w="10040" w:type="dxa"/>
          </w:tcPr>
          <w:p>
            <w:pPr>
              <w:rPr>
                <w:rFonts w:hint="eastAsia"/>
                <w:lang w:val="en-US" w:eastAsia="zh-CN"/>
              </w:rPr>
            </w:pPr>
            <w:r>
              <w:rPr>
                <w:rFonts w:hint="eastAsia"/>
                <w:lang w:val="en-US" w:eastAsia="zh-CN"/>
              </w:rPr>
              <w:t>综合部的管理目标及考核情况：</w:t>
            </w:r>
          </w:p>
          <w:p>
            <w:pPr>
              <w:jc w:val="both"/>
              <w:rPr>
                <w:rFonts w:hint="eastAsia" w:ascii="Times New Roman" w:hAnsi="Times New Roman" w:cs="Times New Roman"/>
                <w:szCs w:val="21"/>
                <w:lang w:val="en-US" w:eastAsia="zh-CN"/>
              </w:rPr>
            </w:pPr>
            <w:r>
              <w:rPr>
                <w:rFonts w:hint="eastAsia" w:cs="Times New Roman"/>
                <w:szCs w:val="21"/>
                <w:lang w:val="en-US" w:eastAsia="zh-CN"/>
              </w:rPr>
              <w:t>综合部</w:t>
            </w:r>
            <w:r>
              <w:rPr>
                <w:rFonts w:hint="eastAsia" w:ascii="Times New Roman" w:hAnsi="Times New Roman" w:cs="Times New Roman"/>
                <w:szCs w:val="21"/>
                <w:lang w:val="en-US" w:eastAsia="zh-CN"/>
              </w:rPr>
              <w:t>：</w:t>
            </w:r>
          </w:p>
          <w:p>
            <w:pPr>
              <w:pStyle w:val="10"/>
              <w:rPr>
                <w:rFonts w:hint="default"/>
                <w:lang w:val="en-US" w:eastAsia="zh-CN"/>
              </w:rPr>
            </w:pPr>
            <w:r>
              <w:rPr>
                <w:rFonts w:hint="eastAsia" w:cs="Times New Roman"/>
                <w:szCs w:val="21"/>
                <w:lang w:val="en-US" w:eastAsia="zh-CN"/>
              </w:rPr>
              <w:t>1、文件发放准确率100%                             100%</w:t>
            </w:r>
          </w:p>
          <w:p>
            <w:pPr>
              <w:jc w:val="both"/>
              <w:rPr>
                <w:rFonts w:hint="eastAsia" w:ascii="Times New Roman" w:hAnsi="Times New Roman" w:eastAsia="宋体" w:cs="Times New Roman"/>
                <w:bCs/>
                <w:spacing w:val="10"/>
                <w:kern w:val="2"/>
                <w:sz w:val="21"/>
                <w:szCs w:val="21"/>
                <w:lang w:val="en-US" w:eastAsia="zh-CN" w:bidi="ar-SA"/>
              </w:rPr>
            </w:pPr>
            <w:r>
              <w:rPr>
                <w:rFonts w:hint="eastAsia" w:cs="Times New Roman"/>
                <w:szCs w:val="21"/>
                <w:lang w:val="en-US" w:eastAsia="zh-CN"/>
              </w:rPr>
              <w:t>2</w:t>
            </w:r>
            <w:r>
              <w:rPr>
                <w:rFonts w:hint="eastAsia" w:cs="Times New Roman"/>
                <w:color w:val="auto"/>
                <w:szCs w:val="21"/>
                <w:lang w:val="en-US" w:eastAsia="zh-CN"/>
              </w:rPr>
              <w:t>、</w:t>
            </w:r>
            <w:r>
              <w:rPr>
                <w:rFonts w:hint="eastAsia" w:ascii="Times New Roman" w:hAnsi="Times New Roman" w:eastAsia="宋体" w:cs="Times New Roman"/>
                <w:bCs/>
                <w:spacing w:val="10"/>
                <w:kern w:val="2"/>
                <w:sz w:val="21"/>
                <w:szCs w:val="21"/>
                <w:lang w:val="en-US" w:eastAsia="zh-CN" w:bidi="ar-SA"/>
              </w:rPr>
              <w:t>培训合格率≥95% ；                              100%；</w:t>
            </w:r>
          </w:p>
          <w:p>
            <w:pPr>
              <w:pStyle w:val="10"/>
              <w:rPr>
                <w:rFonts w:hint="default"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3、培训计划完成率100%                             100%</w:t>
            </w:r>
          </w:p>
          <w:p>
            <w:pPr>
              <w:pStyle w:val="10"/>
              <w:rPr>
                <w:rFonts w:hint="default"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4、固废处理合格率100%                             100%</w:t>
            </w:r>
          </w:p>
          <w:p>
            <w:pPr>
              <w:pStyle w:val="10"/>
              <w:rPr>
                <w:rFonts w:hint="default"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5、职业健康安全合格率100%                         100%</w:t>
            </w:r>
          </w:p>
          <w:p>
            <w:pPr>
              <w:pStyle w:val="10"/>
              <w:ind w:firstLine="1150" w:firstLineChars="500"/>
              <w:rPr>
                <w:rFonts w:hint="default"/>
                <w:lang w:val="en-US" w:eastAsia="zh-CN"/>
              </w:rPr>
            </w:pPr>
            <w:r>
              <w:rPr>
                <w:rFonts w:hint="eastAsia" w:ascii="Times New Roman" w:hAnsi="Times New Roman" w:eastAsia="宋体" w:cs="Times New Roman"/>
                <w:bCs/>
                <w:spacing w:val="10"/>
                <w:kern w:val="2"/>
                <w:sz w:val="21"/>
                <w:szCs w:val="21"/>
                <w:lang w:val="en-US" w:eastAsia="zh-CN" w:bidi="ar-SA"/>
              </w:rPr>
              <w:t>考核期：202</w:t>
            </w:r>
            <w:r>
              <w:rPr>
                <w:rFonts w:hint="eastAsia" w:cs="Times New Roman"/>
                <w:bCs/>
                <w:spacing w:val="10"/>
                <w:kern w:val="2"/>
                <w:sz w:val="21"/>
                <w:szCs w:val="21"/>
                <w:lang w:val="en-US" w:eastAsia="zh-CN" w:bidi="ar-SA"/>
              </w:rPr>
              <w:t>1</w:t>
            </w:r>
            <w:r>
              <w:rPr>
                <w:rFonts w:hint="eastAsia" w:ascii="Times New Roman" w:hAnsi="Times New Roman" w:eastAsia="宋体" w:cs="Times New Roman"/>
                <w:bCs/>
                <w:spacing w:val="10"/>
                <w:kern w:val="2"/>
                <w:sz w:val="21"/>
                <w:szCs w:val="21"/>
                <w:lang w:val="en-US" w:eastAsia="zh-CN" w:bidi="ar-SA"/>
              </w:rPr>
              <w:t>年</w:t>
            </w:r>
            <w:r>
              <w:rPr>
                <w:rFonts w:hint="eastAsia" w:cs="Times New Roman"/>
                <w:bCs/>
                <w:spacing w:val="10"/>
                <w:kern w:val="2"/>
                <w:sz w:val="21"/>
                <w:szCs w:val="21"/>
                <w:lang w:val="en-US" w:eastAsia="zh-CN" w:bidi="ar-SA"/>
              </w:rPr>
              <w:t>1</w:t>
            </w:r>
            <w:r>
              <w:rPr>
                <w:rFonts w:hint="eastAsia" w:ascii="Times New Roman" w:hAnsi="Times New Roman" w:eastAsia="宋体" w:cs="Times New Roman"/>
                <w:bCs/>
                <w:spacing w:val="10"/>
                <w:kern w:val="2"/>
                <w:sz w:val="21"/>
                <w:szCs w:val="21"/>
                <w:lang w:val="en-US" w:eastAsia="zh-CN" w:bidi="ar-SA"/>
              </w:rPr>
              <w:t>月</w:t>
            </w:r>
            <w:r>
              <w:rPr>
                <w:rFonts w:hint="eastAsia" w:cs="Times New Roman"/>
                <w:bCs/>
                <w:spacing w:val="10"/>
                <w:kern w:val="2"/>
                <w:sz w:val="21"/>
                <w:szCs w:val="21"/>
                <w:lang w:val="en-US" w:eastAsia="zh-CN" w:bidi="ar-SA"/>
              </w:rPr>
              <w:t>~8</w:t>
            </w:r>
            <w:r>
              <w:rPr>
                <w:rFonts w:hint="eastAsia" w:ascii="Times New Roman" w:hAnsi="Times New Roman" w:eastAsia="宋体" w:cs="Times New Roman"/>
                <w:bCs/>
                <w:spacing w:val="10"/>
                <w:kern w:val="2"/>
                <w:sz w:val="21"/>
                <w:szCs w:val="21"/>
                <w:lang w:val="en-US" w:eastAsia="zh-CN" w:bidi="ar-SA"/>
              </w:rPr>
              <w:t xml:space="preserve"> 月        考核人：黄蓉玉</w:t>
            </w:r>
          </w:p>
        </w:tc>
        <w:tc>
          <w:tcPr>
            <w:tcW w:w="1002" w:type="dxa"/>
          </w:tcPr>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rPr>
                <w:rFonts w:hint="eastAsia"/>
              </w:rPr>
            </w:pPr>
            <w:r>
              <w:rPr>
                <w:rFonts w:hint="eastAsia" w:ascii="宋体" w:hAnsi="宋体" w:cs="Arial"/>
                <w:sz w:val="21"/>
                <w:szCs w:val="21"/>
              </w:rPr>
              <w:t>变更的策划</w:t>
            </w:r>
          </w:p>
        </w:tc>
        <w:tc>
          <w:tcPr>
            <w:tcW w:w="2220" w:type="dxa"/>
          </w:tcPr>
          <w:p>
            <w:pPr>
              <w:pStyle w:val="10"/>
              <w:rPr>
                <w:rFonts w:hint="default"/>
                <w:lang w:val="en-US" w:eastAsia="zh-CN"/>
              </w:rPr>
            </w:pPr>
            <w:r>
              <w:rPr>
                <w:rFonts w:hint="eastAsia"/>
                <w:lang w:val="en-US" w:eastAsia="zh-CN"/>
              </w:rPr>
              <w:t>Q6.3</w:t>
            </w:r>
          </w:p>
        </w:tc>
        <w:tc>
          <w:tcPr>
            <w:tcW w:w="10040" w:type="dxa"/>
          </w:tcPr>
          <w:p>
            <w:pPr>
              <w:ind w:firstLine="420" w:firstLineChars="200"/>
              <w:rPr>
                <w:rFonts w:hint="eastAsia"/>
                <w:b w:val="0"/>
                <w:bCs/>
                <w:szCs w:val="22"/>
              </w:rPr>
            </w:pPr>
            <w:r>
              <w:rPr>
                <w:rFonts w:hint="eastAsia"/>
                <w:b w:val="0"/>
                <w:bCs/>
                <w:szCs w:val="22"/>
              </w:rPr>
              <w:t>企业有通过管理评审，内部审核结果，过程业绩分析，监视、测量、分析、评价等收集可能发生的变更信息，当组织内外环境、客户及利益相关方的需求、企业经营等方面发生重大变化，具体包括服务质量监视和测量过程中持续未达到预期结果、组织机构变化、重大人员调整、持续的经营亏损等情况下，需要对体系进行变更。</w:t>
            </w:r>
          </w:p>
          <w:p>
            <w:pPr>
              <w:ind w:firstLine="420" w:firstLineChars="200"/>
              <w:rPr>
                <w:rFonts w:hint="eastAsia"/>
                <w:b w:val="0"/>
                <w:bCs/>
                <w:szCs w:val="22"/>
              </w:rPr>
            </w:pPr>
            <w:r>
              <w:rPr>
                <w:rFonts w:hint="eastAsia"/>
                <w:b w:val="0"/>
                <w:bCs/>
                <w:szCs w:val="22"/>
              </w:rPr>
              <w:t>企业有充分识别识别潜在的变更需求，并确保在必要时做出相应的变更。</w:t>
            </w:r>
          </w:p>
          <w:p>
            <w:pPr>
              <w:ind w:firstLine="420" w:firstLineChars="200"/>
              <w:rPr>
                <w:rFonts w:hint="eastAsia"/>
                <w:b w:val="0"/>
                <w:bCs/>
                <w:szCs w:val="22"/>
              </w:rPr>
            </w:pPr>
            <w:r>
              <w:rPr>
                <w:rFonts w:hint="eastAsia"/>
                <w:b w:val="0"/>
                <w:bCs/>
                <w:szCs w:val="22"/>
              </w:rPr>
              <w:t>受审核方明确了变更评估及实施的流程，即当发生变更时，确定变更的目的、考虑变更的潜在后果，质量、环境和职业健康安全管理体系的完整性，识别变更的风险和机遇，确定资源的可获得性并制定应对措施，责任和权限的分配或再分配。并要求对变更前、变更中、变更后的全过程实施监控，并组织对变更的有效性进行评价，确保质量、环境和职业健康安全管理体系的完整性。</w:t>
            </w:r>
          </w:p>
          <w:p>
            <w:pPr>
              <w:pStyle w:val="10"/>
              <w:rPr>
                <w:rFonts w:hint="eastAsia"/>
                <w:szCs w:val="21"/>
                <w:lang w:val="en-US" w:eastAsia="zh-CN"/>
              </w:rPr>
            </w:pPr>
            <w:r>
              <w:rPr>
                <w:rFonts w:hint="eastAsia"/>
                <w:b w:val="0"/>
                <w:bCs/>
                <w:szCs w:val="22"/>
              </w:rPr>
              <w:t>体系运行以来，暂无变更情况发生。</w:t>
            </w:r>
          </w:p>
        </w:tc>
        <w:tc>
          <w:tcPr>
            <w:tcW w:w="1002" w:type="dxa"/>
          </w:tcPr>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rPr>
                <w:rFonts w:hint="default" w:eastAsia="宋体"/>
                <w:lang w:val="en-US" w:eastAsia="zh-CN"/>
              </w:rPr>
            </w:pPr>
            <w:r>
              <w:rPr>
                <w:rFonts w:hint="eastAsia"/>
                <w:lang w:val="en-US" w:eastAsia="zh-CN"/>
              </w:rPr>
              <w:t>运行的策划和控制</w:t>
            </w:r>
          </w:p>
        </w:tc>
        <w:tc>
          <w:tcPr>
            <w:tcW w:w="2220" w:type="dxa"/>
          </w:tcPr>
          <w:p>
            <w:pPr>
              <w:pStyle w:val="10"/>
              <w:rPr>
                <w:rFonts w:hint="eastAsia"/>
                <w:lang w:val="en-US" w:eastAsia="zh-CN"/>
              </w:rPr>
            </w:pPr>
            <w:r>
              <w:rPr>
                <w:rFonts w:hint="eastAsia"/>
                <w:lang w:val="en-US" w:eastAsia="zh-CN"/>
              </w:rPr>
              <w:t>E8.1</w:t>
            </w:r>
          </w:p>
          <w:p>
            <w:pPr>
              <w:pStyle w:val="10"/>
              <w:rPr>
                <w:rFonts w:hint="default"/>
                <w:lang w:val="en-US" w:eastAsia="zh-CN"/>
              </w:rPr>
            </w:pPr>
          </w:p>
        </w:tc>
        <w:tc>
          <w:tcPr>
            <w:tcW w:w="10040" w:type="dxa"/>
            <w:vAlign w:val="center"/>
          </w:tcPr>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总经理指导业务部组织相关部门对服务实现、环境、职业健康安全运行控制所需的过程及子过程的顺序和相互关系进行策划，并对服务提供的过程、重要环境因素、重大危险源、风险有关的运行和活动进行控制，确保管理方针、目标、指标的实现。策划确定下列内容：a）应达到的质量、环境、职业健康安全目标、指标要求；b）针对服务确定过程及重要环境因素、危险源和风险因素，并建立销售服务所需要的文件，以及所需提供的资源和设施；c）依据服务实现过程和活动的特点，确定验证、确认、监视、测量和检验需求的活动以及接收准则；d）保存服务实现过程和活动满足规定要求的记录；</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环境方面：识别确定已纳入计划或新的开发、新的或修改的活动、产品和服务过程的环境因素：确定这些改变带来的具有、或可能具有重大影响的因素（重要环境因素）并建立控制的记录；确定运行控制的程序或建立新的目标和指标；对涉及到的间接重要环境因素通报给供方及合同方；建立应急准备与相应控制机制。</w:t>
            </w:r>
          </w:p>
          <w:p>
            <w:pPr>
              <w:jc w:val="both"/>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公司的环境因素为办公用废纸由回收公司进行回收、硒鼓由供应商进行回收，以旧换新。</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查看《环境/安全检查记录表》</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检查时间：202</w:t>
            </w:r>
            <w:r>
              <w:rPr>
                <w:rFonts w:hint="eastAsia" w:cs="Times New Roman"/>
                <w:szCs w:val="21"/>
                <w:lang w:val="en-US" w:eastAsia="zh-CN"/>
              </w:rPr>
              <w:t>1</w:t>
            </w:r>
            <w:r>
              <w:rPr>
                <w:rFonts w:hint="eastAsia" w:ascii="Times New Roman" w:hAnsi="Times New Roman" w:cs="Times New Roman"/>
                <w:szCs w:val="21"/>
                <w:lang w:val="en-US" w:eastAsia="zh-CN"/>
              </w:rPr>
              <w:t>年</w:t>
            </w:r>
            <w:r>
              <w:rPr>
                <w:rFonts w:hint="eastAsia" w:cs="Times New Roman"/>
                <w:szCs w:val="21"/>
                <w:lang w:val="en-US" w:eastAsia="zh-CN"/>
              </w:rPr>
              <w:t>8</w:t>
            </w:r>
            <w:r>
              <w:rPr>
                <w:rFonts w:hint="eastAsia" w:ascii="Times New Roman" w:hAnsi="Times New Roman" w:cs="Times New Roman"/>
                <w:szCs w:val="21"/>
                <w:lang w:val="en-US" w:eastAsia="zh-CN"/>
              </w:rPr>
              <w:t>月28日；</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检查项目：办公废水、办公固废丢弃、水电消耗、安全检查、一般因素等。</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检查情况：业务方面没有问题。 </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检查人员：</w:t>
            </w:r>
            <w:r>
              <w:rPr>
                <w:rFonts w:hint="eastAsia" w:cs="Times New Roman"/>
                <w:szCs w:val="21"/>
                <w:lang w:val="en-US" w:eastAsia="zh-CN"/>
              </w:rPr>
              <w:t>邢英杰</w:t>
            </w:r>
            <w:r>
              <w:rPr>
                <w:rFonts w:hint="eastAsia" w:ascii="Times New Roman" w:hAnsi="Times New Roman" w:cs="Times New Roman"/>
                <w:szCs w:val="21"/>
                <w:lang w:val="en-US" w:eastAsia="zh-CN"/>
              </w:rPr>
              <w:t xml:space="preserve">    </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抽查202</w:t>
            </w:r>
            <w:r>
              <w:rPr>
                <w:rFonts w:hint="eastAsia" w:cs="Times New Roman"/>
                <w:szCs w:val="21"/>
                <w:lang w:val="en-US" w:eastAsia="zh-CN"/>
              </w:rPr>
              <w:t>1</w:t>
            </w:r>
            <w:r>
              <w:rPr>
                <w:rFonts w:hint="eastAsia" w:ascii="Times New Roman" w:hAnsi="Times New Roman" w:cs="Times New Roman"/>
                <w:szCs w:val="21"/>
                <w:lang w:val="en-US" w:eastAsia="zh-CN"/>
              </w:rPr>
              <w:t>年</w:t>
            </w:r>
            <w:r>
              <w:rPr>
                <w:rFonts w:hint="eastAsia" w:cs="Times New Roman"/>
                <w:szCs w:val="21"/>
                <w:lang w:val="en-US" w:eastAsia="zh-CN"/>
              </w:rPr>
              <w:t>8</w:t>
            </w:r>
            <w:r>
              <w:rPr>
                <w:rFonts w:hint="eastAsia" w:ascii="Times New Roman" w:hAnsi="Times New Roman" w:cs="Times New Roman"/>
                <w:szCs w:val="21"/>
                <w:lang w:val="en-US" w:eastAsia="zh-CN"/>
              </w:rPr>
              <w:t>月13日的检查表，检查人：</w:t>
            </w:r>
            <w:r>
              <w:rPr>
                <w:rFonts w:hint="eastAsia" w:cs="Times New Roman"/>
                <w:szCs w:val="21"/>
                <w:lang w:val="en-US" w:eastAsia="zh-CN"/>
              </w:rPr>
              <w:t>邢英杰</w:t>
            </w:r>
            <w:r>
              <w:rPr>
                <w:rFonts w:hint="eastAsia" w:ascii="Times New Roman" w:hAnsi="Times New Roman" w:cs="Times New Roman"/>
                <w:szCs w:val="21"/>
                <w:lang w:val="en-US" w:eastAsia="zh-CN"/>
              </w:rPr>
              <w:t>。检查项目共6项：目测综合部内照明、电线、管线是否有老化破皮现象，办公环境是否干净整洁。门窗是否完好。消防器材封存是否完好。综合部人员是否知道逃生通道，是否对来访客人进行告知等。</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抽查-固体废物处理记录   编号：JL-7.7-03</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时间202</w:t>
            </w:r>
            <w:r>
              <w:rPr>
                <w:rFonts w:hint="eastAsia" w:cs="Times New Roman"/>
                <w:szCs w:val="21"/>
                <w:lang w:val="en-US" w:eastAsia="zh-CN"/>
              </w:rPr>
              <w:t>1</w:t>
            </w:r>
            <w:r>
              <w:rPr>
                <w:rFonts w:hint="eastAsia" w:ascii="Times New Roman" w:hAnsi="Times New Roman" w:cs="Times New Roman"/>
                <w:szCs w:val="21"/>
                <w:lang w:val="en-US" w:eastAsia="zh-CN"/>
              </w:rPr>
              <w:t>.6.10 废纸  1.5Kg 处理方式：公司回收。</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时间202</w:t>
            </w:r>
            <w:r>
              <w:rPr>
                <w:rFonts w:hint="eastAsia" w:cs="Times New Roman"/>
                <w:szCs w:val="21"/>
                <w:lang w:val="en-US" w:eastAsia="zh-CN"/>
              </w:rPr>
              <w:t>1</w:t>
            </w:r>
            <w:r>
              <w:rPr>
                <w:rFonts w:hint="eastAsia" w:ascii="Times New Roman" w:hAnsi="Times New Roman" w:cs="Times New Roman"/>
                <w:szCs w:val="21"/>
                <w:lang w:val="en-US" w:eastAsia="zh-CN"/>
              </w:rPr>
              <w:t>.</w:t>
            </w:r>
            <w:r>
              <w:rPr>
                <w:rFonts w:hint="eastAsia" w:cs="Times New Roman"/>
                <w:szCs w:val="21"/>
                <w:lang w:val="en-US" w:eastAsia="zh-CN"/>
              </w:rPr>
              <w:t>8</w:t>
            </w:r>
            <w:r>
              <w:rPr>
                <w:rFonts w:hint="eastAsia" w:ascii="Times New Roman" w:hAnsi="Times New Roman" w:cs="Times New Roman"/>
                <w:szCs w:val="21"/>
                <w:lang w:val="en-US" w:eastAsia="zh-CN"/>
              </w:rPr>
              <w:t>.15硒鼓  1个 处理方式：供应商以旧换新。</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在风险控制方面策划了：风险和机遇控制程序、环境绩效检测控制程序管理制度、应急准备及响应程序等。</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查体系运行检查记录表</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  检查内容：疫情期间职业健康安全保护用品（口罩）发放情况、职业健康教育情况、临时用电情况、物品存放、固体废物分类情况、现场垃圾排放情况、办公楼固体废物分类处置情况、灭火器配置情况等。</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检查人：</w:t>
            </w:r>
            <w:r>
              <w:rPr>
                <w:rFonts w:hint="eastAsia" w:cs="Times New Roman"/>
                <w:szCs w:val="21"/>
                <w:lang w:val="en-US" w:eastAsia="zh-CN"/>
              </w:rPr>
              <w:t>邢英杰</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检查日期：202</w:t>
            </w:r>
            <w:r>
              <w:rPr>
                <w:rFonts w:hint="eastAsia" w:cs="Times New Roman"/>
                <w:szCs w:val="21"/>
                <w:lang w:val="en-US" w:eastAsia="zh-CN"/>
              </w:rPr>
              <w:t>1</w:t>
            </w:r>
            <w:r>
              <w:rPr>
                <w:rFonts w:hint="eastAsia" w:ascii="Times New Roman" w:hAnsi="Times New Roman" w:cs="Times New Roman"/>
                <w:szCs w:val="21"/>
                <w:lang w:val="en-US" w:eastAsia="zh-CN"/>
              </w:rPr>
              <w:t>年</w:t>
            </w:r>
            <w:r>
              <w:rPr>
                <w:rFonts w:hint="eastAsia" w:cs="Times New Roman"/>
                <w:szCs w:val="21"/>
                <w:lang w:val="en-US" w:eastAsia="zh-CN"/>
              </w:rPr>
              <w:t>8</w:t>
            </w:r>
            <w:r>
              <w:rPr>
                <w:rFonts w:hint="eastAsia" w:ascii="Times New Roman" w:hAnsi="Times New Roman" w:cs="Times New Roman"/>
                <w:szCs w:val="21"/>
                <w:lang w:val="en-US" w:eastAsia="zh-CN"/>
              </w:rPr>
              <w:t>月16日</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运行策划和控制符合要求；</w:t>
            </w:r>
          </w:p>
        </w:tc>
        <w:tc>
          <w:tcPr>
            <w:tcW w:w="1002" w:type="dxa"/>
          </w:tcPr>
          <w:p>
            <w:pPr>
              <w:pStyle w:val="1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rPr>
                <w:rFonts w:hint="default" w:eastAsia="宋体"/>
                <w:lang w:val="en-US" w:eastAsia="zh-CN"/>
              </w:rPr>
            </w:pPr>
            <w:r>
              <w:rPr>
                <w:rFonts w:hint="eastAsia"/>
                <w:lang w:val="en-US" w:eastAsia="zh-CN"/>
              </w:rPr>
              <w:t>应急准备和相应</w:t>
            </w:r>
          </w:p>
        </w:tc>
        <w:tc>
          <w:tcPr>
            <w:tcW w:w="2220" w:type="dxa"/>
          </w:tcPr>
          <w:p>
            <w:pPr>
              <w:pStyle w:val="10"/>
              <w:rPr>
                <w:rFonts w:hint="default"/>
                <w:lang w:val="en-US" w:eastAsia="zh-CN"/>
              </w:rPr>
            </w:pPr>
            <w:r>
              <w:rPr>
                <w:rFonts w:hint="eastAsia"/>
                <w:lang w:val="en-US" w:eastAsia="zh-CN"/>
              </w:rPr>
              <w:t>E8.2</w:t>
            </w:r>
          </w:p>
        </w:tc>
        <w:tc>
          <w:tcPr>
            <w:tcW w:w="10040" w:type="dxa"/>
          </w:tcPr>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提供《202</w:t>
            </w:r>
            <w:r>
              <w:rPr>
                <w:rFonts w:hint="eastAsia" w:cs="Times New Roman"/>
                <w:szCs w:val="21"/>
                <w:lang w:val="en-US" w:eastAsia="zh-CN"/>
              </w:rPr>
              <w:t>1</w:t>
            </w:r>
            <w:r>
              <w:rPr>
                <w:rFonts w:hint="eastAsia" w:ascii="Times New Roman" w:hAnsi="Times New Roman" w:cs="Times New Roman"/>
                <w:szCs w:val="21"/>
                <w:lang w:val="en-US" w:eastAsia="zh-CN"/>
              </w:rPr>
              <w:t>年应急救援预案演练计划》，有组织人员结构、人员组成、通讯联络、应急物资准备、应急处置程序、注意事项等。</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编制：</w:t>
            </w:r>
            <w:r>
              <w:rPr>
                <w:rFonts w:hint="eastAsia" w:cs="Times New Roman"/>
                <w:szCs w:val="21"/>
                <w:lang w:val="en-US" w:eastAsia="zh-CN"/>
              </w:rPr>
              <w:t>综合部</w:t>
            </w:r>
            <w:r>
              <w:rPr>
                <w:rFonts w:hint="eastAsia" w:ascii="Times New Roman" w:hAnsi="Times New Roman" w:cs="Times New Roman"/>
                <w:szCs w:val="21"/>
                <w:lang w:val="en-US" w:eastAsia="zh-CN"/>
              </w:rPr>
              <w:t xml:space="preserve">    审批：</w:t>
            </w:r>
            <w:r>
              <w:rPr>
                <w:rFonts w:hint="eastAsia" w:cs="Times New Roman"/>
                <w:szCs w:val="21"/>
                <w:lang w:val="en-US" w:eastAsia="zh-CN"/>
              </w:rPr>
              <w:t>邢英杰</w:t>
            </w:r>
            <w:r>
              <w:rPr>
                <w:rFonts w:hint="eastAsia" w:ascii="Times New Roman" w:hAnsi="Times New Roman" w:cs="Times New Roman"/>
                <w:szCs w:val="21"/>
                <w:lang w:val="en-US" w:eastAsia="zh-CN"/>
              </w:rPr>
              <w:t xml:space="preserve">      时间：时间：</w:t>
            </w:r>
            <w:r>
              <w:rPr>
                <w:rFonts w:hint="eastAsia" w:ascii="宋体" w:hAnsi="宋体"/>
              </w:rPr>
              <w:t>20</w:t>
            </w:r>
            <w:r>
              <w:rPr>
                <w:rFonts w:hint="eastAsia" w:ascii="宋体" w:hAnsi="宋体"/>
                <w:lang w:val="en-US" w:eastAsia="zh-CN"/>
              </w:rPr>
              <w:t>21</w:t>
            </w:r>
            <w:r>
              <w:rPr>
                <w:rFonts w:hint="eastAsia" w:ascii="宋体" w:hAnsi="宋体"/>
              </w:rPr>
              <w:t>年</w:t>
            </w:r>
            <w:r>
              <w:rPr>
                <w:rFonts w:hint="eastAsia" w:ascii="宋体" w:hAnsi="宋体"/>
                <w:lang w:val="en-US" w:eastAsia="zh-CN"/>
              </w:rPr>
              <w:t>8</w:t>
            </w:r>
            <w:r>
              <w:rPr>
                <w:rFonts w:hint="eastAsia" w:ascii="宋体" w:hAnsi="宋体"/>
              </w:rPr>
              <w:t>月</w:t>
            </w:r>
            <w:r>
              <w:rPr>
                <w:rFonts w:hint="eastAsia" w:ascii="宋体" w:hAnsi="宋体"/>
                <w:lang w:val="en-US" w:eastAsia="zh-CN"/>
              </w:rPr>
              <w:t>14</w:t>
            </w:r>
            <w:r>
              <w:rPr>
                <w:rFonts w:hint="eastAsia" w:ascii="宋体" w:hAnsi="宋体"/>
              </w:rPr>
              <w:t>日09时10分</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提供《火灾应急演练记录》，有演习项目：灭火、逃生自救，</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地点：</w:t>
            </w:r>
            <w:r>
              <w:rPr>
                <w:rFonts w:hint="eastAsia" w:cs="Times New Roman"/>
                <w:szCs w:val="21"/>
                <w:lang w:val="en-US" w:eastAsia="zh-CN"/>
              </w:rPr>
              <w:t>综合部</w:t>
            </w:r>
            <w:r>
              <w:rPr>
                <w:rFonts w:hint="eastAsia" w:ascii="Times New Roman" w:hAnsi="Times New Roman" w:cs="Times New Roman"/>
                <w:szCs w:val="21"/>
                <w:lang w:val="en-US" w:eastAsia="zh-CN"/>
              </w:rPr>
              <w:t>，时间：</w:t>
            </w:r>
            <w:r>
              <w:rPr>
                <w:rFonts w:hint="eastAsia" w:ascii="宋体" w:hAnsi="宋体"/>
              </w:rPr>
              <w:t>20</w:t>
            </w:r>
            <w:r>
              <w:rPr>
                <w:rFonts w:hint="eastAsia" w:ascii="宋体" w:hAnsi="宋体"/>
                <w:lang w:val="en-US" w:eastAsia="zh-CN"/>
              </w:rPr>
              <w:t>21</w:t>
            </w:r>
            <w:r>
              <w:rPr>
                <w:rFonts w:hint="eastAsia" w:ascii="宋体" w:hAnsi="宋体"/>
              </w:rPr>
              <w:t>年</w:t>
            </w:r>
            <w:r>
              <w:rPr>
                <w:rFonts w:hint="eastAsia" w:ascii="宋体" w:hAnsi="宋体"/>
                <w:lang w:val="en-US" w:eastAsia="zh-CN"/>
              </w:rPr>
              <w:t>8</w:t>
            </w:r>
            <w:r>
              <w:rPr>
                <w:rFonts w:hint="eastAsia" w:ascii="宋体" w:hAnsi="宋体"/>
              </w:rPr>
              <w:t>月</w:t>
            </w:r>
            <w:r>
              <w:rPr>
                <w:rFonts w:hint="eastAsia" w:ascii="宋体" w:hAnsi="宋体"/>
                <w:lang w:val="en-US" w:eastAsia="zh-CN"/>
              </w:rPr>
              <w:t>14</w:t>
            </w:r>
            <w:r>
              <w:rPr>
                <w:rFonts w:hint="eastAsia" w:ascii="宋体" w:hAnsi="宋体"/>
              </w:rPr>
              <w:t>日09时10分</w:t>
            </w:r>
            <w:r>
              <w:rPr>
                <w:rFonts w:hint="eastAsia" w:ascii="Times New Roman" w:hAnsi="Times New Roman" w:cs="Times New Roman"/>
                <w:szCs w:val="21"/>
                <w:lang w:val="en-US" w:eastAsia="zh-CN"/>
              </w:rPr>
              <w:t>。</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有演练过程记录，演练存在的问题及整改措施等。</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记录人：</w:t>
            </w:r>
            <w:r>
              <w:rPr>
                <w:rFonts w:hint="eastAsia" w:ascii="Times New Roman" w:hAnsi="Times New Roman" w:eastAsia="宋体" w:cs="Times New Roman"/>
                <w:szCs w:val="21"/>
                <w:lang w:val="en-US" w:eastAsia="zh-CN"/>
              </w:rPr>
              <w:t>赵红霞</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有火灾应急响应演练评审，对演练中发现的问题要求整改。</w:t>
            </w:r>
          </w:p>
          <w:p>
            <w:pPr>
              <w:jc w:val="both"/>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评价人：</w:t>
            </w:r>
            <w:r>
              <w:rPr>
                <w:rFonts w:hint="eastAsia" w:cs="Times New Roman"/>
                <w:szCs w:val="21"/>
                <w:lang w:val="en-US" w:eastAsia="zh-CN"/>
              </w:rPr>
              <w:t>邢英杰</w:t>
            </w:r>
            <w:r>
              <w:rPr>
                <w:rFonts w:hint="eastAsia" w:ascii="Times New Roman" w:hAnsi="Times New Roman" w:cs="Times New Roman"/>
                <w:szCs w:val="21"/>
                <w:lang w:val="en-US" w:eastAsia="zh-CN"/>
              </w:rPr>
              <w:t xml:space="preserve">    时间：</w:t>
            </w:r>
            <w:r>
              <w:rPr>
                <w:rFonts w:hint="eastAsia" w:ascii="宋体" w:hAnsi="宋体"/>
              </w:rPr>
              <w:t>20</w:t>
            </w:r>
            <w:r>
              <w:rPr>
                <w:rFonts w:hint="eastAsia" w:ascii="宋体" w:hAnsi="宋体"/>
                <w:lang w:val="en-US" w:eastAsia="zh-CN"/>
              </w:rPr>
              <w:t>21</w:t>
            </w:r>
            <w:r>
              <w:rPr>
                <w:rFonts w:hint="eastAsia" w:ascii="宋体" w:hAnsi="宋体"/>
              </w:rPr>
              <w:t>年</w:t>
            </w:r>
            <w:r>
              <w:rPr>
                <w:rFonts w:hint="eastAsia" w:ascii="宋体" w:hAnsi="宋体"/>
                <w:lang w:val="en-US" w:eastAsia="zh-CN"/>
              </w:rPr>
              <w:t>8</w:t>
            </w:r>
            <w:r>
              <w:rPr>
                <w:rFonts w:hint="eastAsia" w:ascii="宋体" w:hAnsi="宋体"/>
              </w:rPr>
              <w:t>月</w:t>
            </w:r>
            <w:r>
              <w:rPr>
                <w:rFonts w:hint="eastAsia" w:ascii="宋体" w:hAnsi="宋体"/>
                <w:lang w:val="en-US" w:eastAsia="zh-CN"/>
              </w:rPr>
              <w:t>14</w:t>
            </w:r>
            <w:r>
              <w:rPr>
                <w:rFonts w:hint="eastAsia" w:ascii="宋体" w:hAnsi="宋体"/>
              </w:rPr>
              <w:t>日</w:t>
            </w:r>
            <w:r>
              <w:rPr>
                <w:rFonts w:hint="eastAsia" w:ascii="Times New Roman" w:hAnsi="Times New Roman" w:cs="Times New Roman"/>
                <w:szCs w:val="21"/>
                <w:lang w:val="en-US" w:eastAsia="zh-CN"/>
              </w:rPr>
              <w:t>。</w:t>
            </w:r>
          </w:p>
        </w:tc>
        <w:tc>
          <w:tcPr>
            <w:tcW w:w="1002" w:type="dxa"/>
          </w:tcPr>
          <w:p>
            <w:pPr>
              <w:pStyle w:val="10"/>
              <w:rPr>
                <w:rFonts w:hint="default"/>
                <w:lang w:val="en-US" w:eastAsia="zh-CN"/>
              </w:rPr>
            </w:pPr>
            <w:r>
              <w:rPr>
                <w:rFonts w:hint="eastAsia"/>
                <w:lang w:val="en-US" w:eastAsia="zh-CN"/>
              </w:rPr>
              <w:t xml:space="preserve"> y</w:t>
            </w:r>
          </w:p>
          <w:p>
            <w:pPr>
              <w:pStyle w:val="10"/>
              <w:rPr>
                <w:rFonts w:hint="eastAsia"/>
                <w:lang w:val="en-US" w:eastAsia="zh-CN"/>
              </w:rPr>
            </w:pPr>
            <w:r>
              <w:rPr>
                <w:rFonts w:hint="eastAsia"/>
                <w:lang w:val="en-US" w:eastAsia="zh-CN"/>
              </w:rPr>
              <w:t xml:space="preserve"> </w:t>
            </w:r>
          </w:p>
          <w:p>
            <w:pPr>
              <w:pStyle w:val="10"/>
              <w:rPr>
                <w:rFonts w:hint="eastAsia"/>
                <w:lang w:val="en-US" w:eastAsia="zh-CN"/>
              </w:rPr>
            </w:pPr>
          </w:p>
          <w:p>
            <w:pPr>
              <w:pStyle w:val="10"/>
              <w:rPr>
                <w:rFonts w:hint="eastAsia"/>
                <w:lang w:val="en-US" w:eastAsia="zh-CN"/>
              </w:rPr>
            </w:pPr>
          </w:p>
          <w:p>
            <w:pPr>
              <w:pStyle w:val="1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rPr>
                <w:rFonts w:hint="eastAsia"/>
                <w:lang w:val="en-US" w:eastAsia="zh-CN"/>
              </w:rPr>
            </w:pPr>
            <w:r>
              <w:rPr>
                <w:rFonts w:hint="eastAsia" w:ascii="宋体" w:hAnsi="宋体" w:cs="Arial"/>
                <w:sz w:val="21"/>
                <w:szCs w:val="21"/>
              </w:rPr>
              <w:t>分析与评价</w:t>
            </w:r>
          </w:p>
        </w:tc>
        <w:tc>
          <w:tcPr>
            <w:tcW w:w="2220" w:type="dxa"/>
          </w:tcPr>
          <w:p>
            <w:pPr>
              <w:pStyle w:val="10"/>
              <w:rPr>
                <w:rFonts w:hint="default"/>
                <w:lang w:val="en-US" w:eastAsia="zh-CN"/>
              </w:rPr>
            </w:pPr>
            <w:r>
              <w:rPr>
                <w:rFonts w:hint="eastAsia"/>
                <w:lang w:val="en-US" w:eastAsia="zh-CN"/>
              </w:rPr>
              <w:t>Q9.1.3</w:t>
            </w:r>
          </w:p>
        </w:tc>
        <w:tc>
          <w:tcPr>
            <w:tcW w:w="10040" w:type="dxa"/>
          </w:tcPr>
          <w:p>
            <w:pPr>
              <w:jc w:val="both"/>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技术质量部应确定数据分析的应用场所及应用方法，各部门应收集和分析适用数据，以确定质量/环境/职业健康安全管理体系的适用性和有效性，并规定采取的改进的措施。包括通过监视和测量活动以及其他相关来源所产生的数据。各部门配合技质部负责提供有关本部门收集的相关数据提供给技质部集中统计和分析，并由技质部形成分析报告，上报总经理作为公司统筹规划及管理评审的输入有效信息可利用。</w:t>
            </w:r>
          </w:p>
          <w:p>
            <w:pPr>
              <w:jc w:val="both"/>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a）检测检定服务的符合性；（日常工作检查及目标考核结果） </w:t>
            </w:r>
          </w:p>
          <w:p>
            <w:pPr>
              <w:jc w:val="both"/>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b）顾客满意程度；（日常回访及定期的满意度调查结果） </w:t>
            </w:r>
          </w:p>
          <w:p>
            <w:pPr>
              <w:jc w:val="both"/>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c）质量/环境/职业健康安全管理体系的绩效和有效性；（QE管理体系的审核结果） </w:t>
            </w:r>
          </w:p>
          <w:p>
            <w:pPr>
              <w:jc w:val="both"/>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d）策划是否得到有效实施；（目标考核结果及日常检查、内审和管理评审） </w:t>
            </w:r>
          </w:p>
          <w:p>
            <w:pPr>
              <w:jc w:val="both"/>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e）针对风险和机遇所采取措施的有效性；（公司及各部门完成风险与机遇的分析与评价结果） </w:t>
            </w:r>
          </w:p>
          <w:p>
            <w:pPr>
              <w:jc w:val="both"/>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f）外部供方/外包方的绩效；（首次评价、再评价结果） </w:t>
            </w:r>
          </w:p>
          <w:p>
            <w:pPr>
              <w:jc w:val="both"/>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g）质量/环境/职业健康安全管理体系改进的需求。（管理评审的输出结果及决策）</w:t>
            </w:r>
          </w:p>
        </w:tc>
        <w:tc>
          <w:tcPr>
            <w:tcW w:w="1002" w:type="dxa"/>
          </w:tcPr>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rPr>
                <w:rFonts w:hint="default" w:eastAsia="宋体"/>
                <w:lang w:val="en-US" w:eastAsia="zh-CN"/>
              </w:rPr>
            </w:pPr>
            <w:r>
              <w:rPr>
                <w:rFonts w:hint="eastAsia"/>
                <w:lang w:val="en-US" w:eastAsia="zh-CN"/>
              </w:rPr>
              <w:t>内部审核</w:t>
            </w:r>
          </w:p>
        </w:tc>
        <w:tc>
          <w:tcPr>
            <w:tcW w:w="2220" w:type="dxa"/>
          </w:tcPr>
          <w:p>
            <w:pPr>
              <w:pStyle w:val="10"/>
              <w:rPr>
                <w:rFonts w:hint="default"/>
                <w:lang w:val="en-US" w:eastAsia="zh-CN"/>
              </w:rPr>
            </w:pPr>
            <w:r>
              <w:rPr>
                <w:rFonts w:hint="eastAsia"/>
                <w:lang w:val="en-US" w:eastAsia="zh-CN"/>
              </w:rPr>
              <w:t>QE9.2</w:t>
            </w:r>
          </w:p>
        </w:tc>
        <w:tc>
          <w:tcPr>
            <w:tcW w:w="10040"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公司编制了《内部审核控制程序》，每年至少一次，两次时间间隔不超过12个月。管理者代表全面负责内部审核的领导、策划和组织。</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查策划：每年进行一次内审，间隔不超过12个月。</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有内审员任命书，任命</w:t>
            </w:r>
            <w:r>
              <w:rPr>
                <w:rFonts w:hint="eastAsia" w:cs="Times New Roman"/>
                <w:szCs w:val="22"/>
                <w:lang w:val="en-US" w:eastAsia="zh-CN"/>
              </w:rPr>
              <w:t>邢英杰</w:t>
            </w:r>
            <w:r>
              <w:rPr>
                <w:rFonts w:hint="eastAsia" w:ascii="Times New Roman" w:hAnsi="Times New Roman" w:cs="Times New Roman"/>
                <w:szCs w:val="22"/>
                <w:lang w:val="en-US" w:eastAsia="zh-CN"/>
              </w:rPr>
              <w:t>、李延波为内审员，任命人：</w:t>
            </w:r>
            <w:r>
              <w:rPr>
                <w:rFonts w:hint="eastAsia" w:cs="Times New Roman"/>
                <w:szCs w:val="22"/>
                <w:lang w:val="en-US" w:eastAsia="zh-CN"/>
              </w:rPr>
              <w:t>邢英杰</w:t>
            </w:r>
            <w:r>
              <w:rPr>
                <w:rFonts w:hint="eastAsia" w:ascii="Times New Roman" w:hAnsi="Times New Roman" w:cs="Times New Roman"/>
                <w:szCs w:val="22"/>
                <w:lang w:val="en-US" w:eastAsia="zh-CN"/>
              </w:rPr>
              <w:t>。</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提供《内审计划》， 明确了审核目的、依据、范围、部门、审核内容。计划于202</w:t>
            </w:r>
            <w:r>
              <w:rPr>
                <w:rFonts w:hint="eastAsia" w:cs="Times New Roman"/>
                <w:szCs w:val="22"/>
                <w:lang w:val="en-US" w:eastAsia="zh-CN"/>
              </w:rPr>
              <w:t>1</w:t>
            </w:r>
            <w:r>
              <w:rPr>
                <w:rFonts w:hint="eastAsia" w:ascii="Times New Roman" w:hAnsi="Times New Roman" w:cs="Times New Roman"/>
                <w:szCs w:val="22"/>
                <w:lang w:val="en-US" w:eastAsia="zh-CN"/>
              </w:rPr>
              <w:t>年</w:t>
            </w:r>
            <w:r>
              <w:rPr>
                <w:rFonts w:hint="eastAsia" w:cs="Times New Roman"/>
                <w:szCs w:val="22"/>
                <w:lang w:val="en-US" w:eastAsia="zh-CN"/>
              </w:rPr>
              <w:t>5月25</w:t>
            </w:r>
            <w:r>
              <w:rPr>
                <w:rFonts w:hint="eastAsia" w:ascii="Times New Roman" w:hAnsi="Times New Roman" w:cs="Times New Roman"/>
                <w:szCs w:val="22"/>
                <w:lang w:val="en-US" w:eastAsia="zh-CN"/>
              </w:rPr>
              <w:t>日实施。</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审核依据：ISO9001:2015、 ISO14001:2015、ISO45001:2018</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公司管理手册及管理体系文件</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审核组长：邢英杰  审核组组员：黄蓉玉、杨唯、王玉锋、李惠兰、史水英、任跃飞</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计划中有审核日程安排，内审员审核的部门及条款。计划审核的范围覆盖了所有的部门及条款。                                                                        </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查审核计划实施</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公司按照策划的时间进行了内审。出示《内审首末次会议签到表》， 各部门负责人签字齐全。提供了各部门内审检查表。查阅领导层、综合部、检测部、技术质量部、财务部、收发室，对审核的事实进行了描述，审核条款无遗漏。本次审核开出1项不符合报告</w:t>
            </w:r>
            <w:r>
              <w:rPr>
                <w:rFonts w:hint="eastAsia" w:cs="Times New Roman"/>
                <w:szCs w:val="22"/>
                <w:lang w:val="en-US" w:eastAsia="zh-CN"/>
              </w:rPr>
              <w:t>，质量和环境方面无不符合报告。</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不符合项：查检测部瓦斯计的检验校准操作现场时，发现一名操作人员没有戴安全防护的耳塞等劳动防护用品在进行工作。</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不符合GB/T45001-2020职业健康安全标准中“8.1.2e）条款的使用适当的个体防护装备相关要求。”</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对不符合项进行了原因分析及纠正，由内审员进行了验证。</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提供了《内部审核报告》，结论：通过内审发现了一些问题，今后需要加强学习和培训。经过1个周期的体系运行，证实公司建立的管理体系经内部符合性、适宜性和有效性。</w:t>
            </w:r>
          </w:p>
        </w:tc>
        <w:tc>
          <w:tcPr>
            <w:tcW w:w="1002" w:type="dxa"/>
          </w:tcPr>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atLeast"/>
        </w:trPr>
        <w:tc>
          <w:tcPr>
            <w:tcW w:w="1447" w:type="dxa"/>
          </w:tcPr>
          <w:p>
            <w:pPr>
              <w:spacing w:line="240" w:lineRule="exact"/>
              <w:rPr>
                <w:rFonts w:ascii="宋体" w:hAnsi="宋体" w:cs="Arial"/>
                <w:sz w:val="21"/>
                <w:szCs w:val="21"/>
              </w:rPr>
            </w:pPr>
            <w:r>
              <w:rPr>
                <w:rFonts w:hint="eastAsia" w:ascii="宋体" w:hAnsi="宋体" w:cs="Arial"/>
                <w:sz w:val="21"/>
                <w:szCs w:val="21"/>
                <w:lang w:val="en-US" w:eastAsia="zh-CN"/>
              </w:rPr>
              <w:t>Q</w:t>
            </w:r>
            <w:r>
              <w:rPr>
                <w:rFonts w:hint="eastAsia" w:ascii="宋体" w:hAnsi="宋体" w:cs="Arial"/>
                <w:sz w:val="21"/>
                <w:szCs w:val="21"/>
              </w:rPr>
              <w:t>不合格和纠正措施，</w:t>
            </w:r>
            <w:r>
              <w:rPr>
                <w:rFonts w:ascii="宋体" w:hAnsi="宋体" w:cs="Arial"/>
                <w:sz w:val="21"/>
                <w:szCs w:val="21"/>
              </w:rPr>
              <w:t xml:space="preserve"> </w:t>
            </w:r>
          </w:p>
          <w:p>
            <w:pPr>
              <w:rPr>
                <w:rFonts w:hint="eastAsia"/>
                <w:lang w:val="en-US" w:eastAsia="zh-CN"/>
              </w:rPr>
            </w:pPr>
            <w:r>
              <w:rPr>
                <w:rFonts w:hint="eastAsia" w:ascii="宋体" w:hAnsi="宋体" w:cs="Arial"/>
                <w:sz w:val="21"/>
                <w:szCs w:val="21"/>
                <w:lang w:val="en-US" w:eastAsia="zh-CN"/>
              </w:rPr>
              <w:t>EO</w:t>
            </w:r>
            <w:r>
              <w:rPr>
                <w:rFonts w:hint="eastAsia" w:ascii="宋体" w:hAnsi="宋体" w:cs="Arial"/>
                <w:sz w:val="21"/>
                <w:szCs w:val="21"/>
              </w:rPr>
              <w:t>不符合</w:t>
            </w:r>
            <w:r>
              <w:rPr>
                <w:rFonts w:ascii="宋体" w:hAnsi="宋体" w:cs="Arial"/>
                <w:sz w:val="21"/>
                <w:szCs w:val="21"/>
              </w:rPr>
              <w:t>/</w:t>
            </w:r>
            <w:r>
              <w:rPr>
                <w:rFonts w:hint="eastAsia" w:ascii="宋体" w:hAnsi="宋体" w:cs="Arial"/>
                <w:sz w:val="21"/>
                <w:szCs w:val="21"/>
              </w:rPr>
              <w:t>事件和纠正措施，</w:t>
            </w:r>
          </w:p>
        </w:tc>
        <w:tc>
          <w:tcPr>
            <w:tcW w:w="2220" w:type="dxa"/>
          </w:tcPr>
          <w:p>
            <w:pPr>
              <w:spacing w:line="240" w:lineRule="exact"/>
              <w:rPr>
                <w:rFonts w:ascii="宋体" w:hAnsi="宋体" w:cs="Arial"/>
                <w:sz w:val="21"/>
                <w:szCs w:val="21"/>
              </w:rPr>
            </w:pPr>
            <w:r>
              <w:rPr>
                <w:rFonts w:hint="eastAsia" w:ascii="宋体" w:hAnsi="宋体" w:cs="Arial"/>
                <w:sz w:val="21"/>
                <w:szCs w:val="21"/>
                <w:lang w:val="en-US" w:eastAsia="zh-CN"/>
              </w:rPr>
              <w:t>QE</w:t>
            </w:r>
            <w:r>
              <w:rPr>
                <w:rFonts w:ascii="宋体" w:hAnsi="宋体" w:cs="Arial"/>
                <w:sz w:val="21"/>
                <w:szCs w:val="21"/>
              </w:rPr>
              <w:t xml:space="preserve">10.2 </w:t>
            </w:r>
          </w:p>
          <w:p>
            <w:pPr>
              <w:pStyle w:val="10"/>
              <w:rPr>
                <w:rFonts w:hint="eastAsia"/>
                <w:lang w:val="en-US" w:eastAsia="zh-CN"/>
              </w:rPr>
            </w:pPr>
          </w:p>
        </w:tc>
        <w:tc>
          <w:tcPr>
            <w:tcW w:w="10040" w:type="dxa"/>
          </w:tcPr>
          <w:p>
            <w:pPr>
              <w:rPr>
                <w:rFonts w:hint="eastAsia" w:ascii="Times New Roman" w:hAnsi="Times New Roman" w:eastAsia="宋体" w:cs="Times New Roman"/>
                <w:szCs w:val="22"/>
                <w:lang w:val="en-US" w:eastAsia="zh-CN"/>
              </w:rPr>
            </w:pPr>
            <w:r>
              <w:rPr>
                <w:rFonts w:hint="eastAsia" w:cs="Times New Roman"/>
                <w:szCs w:val="22"/>
                <w:lang w:val="en-US" w:eastAsia="zh-CN"/>
              </w:rPr>
              <w:t>与负责人沟通，</w:t>
            </w:r>
            <w:r>
              <w:rPr>
                <w:rFonts w:hint="eastAsia" w:ascii="Times New Roman" w:hAnsi="Times New Roman" w:eastAsia="宋体" w:cs="Times New Roman"/>
                <w:szCs w:val="22"/>
                <w:lang w:val="en-US" w:eastAsia="zh-CN"/>
              </w:rPr>
              <w:t xml:space="preserve">若出现不合格，包括投诉所引起的不合格，各相关部门应对不合格做出应对，采取必要的临时对策：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1）采取措施予以控制和纠正；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2）处置产生的后果。包括减轻有害的环境影响。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通过下列活动，评价是否需要采取措施，以消除产生不合格的原因，避免其再次发生（纠正措施）或者在其他场合发生（预防措施）： </w:t>
            </w:r>
            <w:bookmarkStart w:id="0" w:name="_GoBack"/>
            <w:bookmarkEnd w:id="0"/>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1）评审和分析不合格；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2）确定不合格的原因；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3）举一反三，确定是否存在或可能发生类似的不合格。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确定和实施所需采取的改进措施；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评审所采取的纠正措施的有效性；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需要时，更新策划期间确定的风险和机遇；需要时，变更质量/环境/职业健康安全管理体系。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纠正措施应与所产生的不合格的影响（包括环境影响）的重要程度相适应。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对不合格的性质以及随后所采取的措施的记录，及纠正措施的结果的记录予以保留。</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经询查，自体系运行以来，还没有出现不合格和不符合事件/事故。</w:t>
            </w:r>
          </w:p>
        </w:tc>
        <w:tc>
          <w:tcPr>
            <w:tcW w:w="1002" w:type="dxa"/>
          </w:tcPr>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 xml:space="preserve">  y</w:t>
            </w: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3"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EGquXWAAAACgEAAA8AAAAAAAAAAQAgAAAAIgAAAGRycy9kb3ducmV2&#10;LnhtbFBLAQIUABQAAAAIAIdO4kC/NUqHxQEAAHoDAAAOAAAAAAAAAAEAIAAAACUBAABkcnMvZTJv&#10;RG9jLnhtbFBLBQYAAAAABgAGAFkBAABc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A1EDC"/>
    <w:rsid w:val="03D96AE0"/>
    <w:rsid w:val="05C452EA"/>
    <w:rsid w:val="0BC05367"/>
    <w:rsid w:val="10BC52B0"/>
    <w:rsid w:val="196850DE"/>
    <w:rsid w:val="1AB90925"/>
    <w:rsid w:val="1E9D20CA"/>
    <w:rsid w:val="205829B9"/>
    <w:rsid w:val="253E7736"/>
    <w:rsid w:val="29780EA2"/>
    <w:rsid w:val="29CE582E"/>
    <w:rsid w:val="2CCD63D4"/>
    <w:rsid w:val="2F8B08F6"/>
    <w:rsid w:val="35742A03"/>
    <w:rsid w:val="37187BB9"/>
    <w:rsid w:val="38176BAA"/>
    <w:rsid w:val="3892288F"/>
    <w:rsid w:val="393878BA"/>
    <w:rsid w:val="41DD7820"/>
    <w:rsid w:val="42DC0A74"/>
    <w:rsid w:val="44EB5918"/>
    <w:rsid w:val="463E635C"/>
    <w:rsid w:val="49D34275"/>
    <w:rsid w:val="49D80C11"/>
    <w:rsid w:val="4AF46303"/>
    <w:rsid w:val="4DD342A5"/>
    <w:rsid w:val="4F6E0A3B"/>
    <w:rsid w:val="546241A1"/>
    <w:rsid w:val="55B933CF"/>
    <w:rsid w:val="5BD0174E"/>
    <w:rsid w:val="647E6EBA"/>
    <w:rsid w:val="64D309B9"/>
    <w:rsid w:val="66E4533F"/>
    <w:rsid w:val="6B5F35D1"/>
    <w:rsid w:val="6D6C43C4"/>
    <w:rsid w:val="6E9736E9"/>
    <w:rsid w:val="716428C3"/>
    <w:rsid w:val="7A8E55F9"/>
    <w:rsid w:val="7C9773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cs="Calibri"/>
      <w:b/>
      <w:bCs/>
      <w:caps/>
      <w:sz w:val="20"/>
      <w:szCs w:val="20"/>
    </w:rPr>
  </w:style>
  <w:style w:type="paragraph" w:styleId="3">
    <w:name w:val="Plain Text"/>
    <w:basedOn w:val="1"/>
    <w:qFormat/>
    <w:uiPriority w:val="0"/>
    <w:rPr>
      <w:rFonts w:ascii="宋体" w:hAnsi="Courier New"/>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adjustRightInd w:val="0"/>
      <w:spacing w:line="312" w:lineRule="atLeast"/>
      <w:ind w:firstLine="420" w:firstLineChars="200"/>
      <w:textAlignment w:val="baseline"/>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2021-09-15T19:13:14Z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