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重庆伯仲物流有限公司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查固废管理，在办公区域，部分口罩未按要求进行固废分类收集处理放入专用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垃圾桶</w:t>
            </w:r>
            <w:r>
              <w:rPr>
                <w:rFonts w:hint="eastAsia" w:ascii="方正仿宋简体" w:eastAsia="方正仿宋简体"/>
                <w:b/>
              </w:rPr>
              <w:t>中，与其他垃圾混放。不符合标准GB/T24001-2016的8.1条款“组织应建立、实施、控制并保持满足环境管理体系要求以及实施6.1和6.2所识别的措施所需的过程，通过：按照运行准则实施过程控制”的要求。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94615</wp:posOffset>
                  </wp:positionV>
                  <wp:extent cx="661035" cy="323215"/>
                  <wp:effectExtent l="0" t="0" r="12065" b="698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84455</wp:posOffset>
                  </wp:positionV>
                  <wp:extent cx="661035" cy="323215"/>
                  <wp:effectExtent l="0" t="0" r="12065" b="698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E3682"/>
    <w:rsid w:val="12F01D25"/>
    <w:rsid w:val="19CD3DB3"/>
    <w:rsid w:val="2C4F6A06"/>
    <w:rsid w:val="2DA06F7E"/>
    <w:rsid w:val="4A065171"/>
    <w:rsid w:val="5D2F6C0A"/>
    <w:rsid w:val="5D39522F"/>
    <w:rsid w:val="5DCA0216"/>
    <w:rsid w:val="644F2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2021-09-09T10:17:21Z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