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0468-2020-QEO-2021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重庆伯仲物流有限公司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重庆伯仲物流有限公司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重庆市沙坪坝区西部现代物流园垄安大道传化公路物流港零担仓库L409</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重庆市沙坪坝区垄安大道120号维龙沙坪坝物流园A2号仓库/办公楼</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刘安辉</w:t>
            </w:r>
            <w:bookmarkEnd w:id="10"/>
          </w:p>
        </w:tc>
        <w:tc>
          <w:tcPr>
            <w:tcW w:w="1313" w:type="dxa"/>
            <w:vAlign w:val="center"/>
          </w:tcPr>
          <w:p>
            <w:r>
              <w:rPr>
                <w:rFonts w:hint="eastAsia"/>
              </w:rPr>
              <w:t>电话.</w:t>
            </w:r>
          </w:p>
        </w:tc>
        <w:tc>
          <w:tcPr>
            <w:tcW w:w="2180" w:type="dxa"/>
            <w:vAlign w:val="center"/>
          </w:tcPr>
          <w:p>
            <w:bookmarkStart w:id="11" w:name="联系人电话"/>
            <w:r>
              <w:t>023-65508979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刘安辉</w:t>
            </w:r>
            <w:bookmarkEnd w:id="13"/>
          </w:p>
        </w:tc>
        <w:tc>
          <w:tcPr>
            <w:tcW w:w="1313" w:type="dxa"/>
            <w:vAlign w:val="center"/>
          </w:tcPr>
          <w:p>
            <w:r>
              <w:rPr>
                <w:rFonts w:hint="eastAsia"/>
              </w:rPr>
              <w:t>管理者代表</w:t>
            </w:r>
          </w:p>
        </w:tc>
        <w:tc>
          <w:tcPr>
            <w:tcW w:w="2180" w:type="dxa"/>
          </w:tcPr>
          <w:p>
            <w:bookmarkStart w:id="14" w:name="管理者代表"/>
            <w:r>
              <w:t>王亚兰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bCs/>
                <w:spacing w:val="10"/>
                <w:kern w:val="2"/>
                <w:sz w:val="21"/>
                <w:szCs w:val="21"/>
                <w:highlight w:val="none"/>
                <w:rtl w:val="0"/>
                <w:lang w:val="zh-CN" w:eastAsia="zh-CN" w:bidi="ar-SA"/>
              </w:rPr>
              <w:t>货运流程：签订合同——制定运输方案—-按照方案执行——客户确认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2021年09月09日 上午至2021年09月09日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Q：许可范围内的普通货运</w:t>
            </w:r>
          </w:p>
          <w:p>
            <w:pPr>
              <w:rPr>
                <w:rFonts w:hint="eastAsia"/>
              </w:rPr>
            </w:pPr>
            <w:r>
              <w:rPr>
                <w:rFonts w:hint="eastAsia"/>
              </w:rPr>
              <w:t>E：许可范围内的普通货运所涉及的相关环境管理活动</w:t>
            </w:r>
          </w:p>
          <w:p>
            <w:pPr>
              <w:rPr>
                <w:rFonts w:hint="eastAsia"/>
              </w:rPr>
            </w:pPr>
            <w:r>
              <w:rPr>
                <w:rFonts w:hint="eastAsia"/>
              </w:rPr>
              <w:t>O：许可范围内的普通货运所涉及的相关职业健康安全管理活动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Q：31.04.01</w:t>
            </w:r>
          </w:p>
          <w:p>
            <w:r>
              <w:t>E：31.04.01</w:t>
            </w:r>
          </w:p>
          <w:p>
            <w:r>
              <w:t>O：31.04.01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rPr>
              <w:t xml:space="preserve"> </w:t>
            </w:r>
            <w:r>
              <w:rPr>
                <w:rFonts w:hint="eastAsia"/>
                <w:lang w:val="en-US" w:eastAsia="zh-CN"/>
              </w:rPr>
              <w:t>2019年12月10日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rPr>
              <w:t xml:space="preserve"> </w:t>
            </w:r>
            <w:r>
              <w:rPr>
                <w:rFonts w:hint="eastAsia"/>
                <w:lang w:val="en-US" w:eastAsia="zh-CN"/>
              </w:rPr>
              <w:t>2020年9月11日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2023年年9月10日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89"/>
        <w:gridCol w:w="1095"/>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89" w:type="dxa"/>
            <w:shd w:val="clear" w:color="auto" w:fill="F3F3F3"/>
            <w:tcMar>
              <w:left w:w="57" w:type="dxa"/>
              <w:right w:w="57" w:type="dxa"/>
            </w:tcMar>
          </w:tcPr>
          <w:p>
            <w:r>
              <w:rPr>
                <w:rFonts w:hint="eastAsia"/>
              </w:rPr>
              <w:t>审核范围（产品和过程）</w:t>
            </w:r>
          </w:p>
          <w:p/>
          <w:p/>
        </w:tc>
        <w:tc>
          <w:tcPr>
            <w:tcW w:w="1095" w:type="dxa"/>
            <w:shd w:val="clear" w:color="auto" w:fill="F3F3F3"/>
            <w:tcMar>
              <w:left w:w="57" w:type="dxa"/>
              <w:right w:w="57" w:type="dxa"/>
            </w:tcMar>
          </w:tcPr>
          <w:p>
            <w:r>
              <w:rPr>
                <w:rFonts w:hint="eastAsia"/>
              </w:rPr>
              <w:t>标准</w:t>
            </w:r>
          </w:p>
        </w:tc>
        <w:tc>
          <w:tcPr>
            <w:tcW w:w="556"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b w:val="0"/>
                <w:bCs/>
                <w:lang w:val="en-US" w:eastAsia="zh-CN"/>
              </w:rPr>
            </w:pPr>
            <w:r>
              <w:rPr>
                <w:rFonts w:ascii="宋体" w:hAnsi="宋体"/>
                <w:b w:val="0"/>
                <w:bCs/>
                <w:color w:val="000000" w:themeColor="text1"/>
                <w:sz w:val="20"/>
                <w:szCs w:val="20"/>
              </w:rPr>
              <w:t>重庆伯仲物流有限公司</w:t>
            </w:r>
            <w:r>
              <w:rPr>
                <w:rFonts w:hint="eastAsia" w:ascii="宋体" w:hAnsi="宋体"/>
                <w:b w:val="0"/>
                <w:bCs/>
                <w:color w:val="000000" w:themeColor="text1"/>
                <w:sz w:val="20"/>
                <w:szCs w:val="20"/>
                <w:lang w:val="en-US" w:eastAsia="zh-CN"/>
              </w:rPr>
              <w:t>/</w:t>
            </w:r>
            <w:r>
              <w:rPr>
                <w:rFonts w:ascii="宋体" w:hAnsi="宋体"/>
                <w:b w:val="0"/>
                <w:bCs/>
                <w:color w:val="000000" w:themeColor="text1"/>
                <w:sz w:val="20"/>
                <w:szCs w:val="20"/>
              </w:rPr>
              <w:t>重庆市沙坪坝区西部现代物流园垄安大道传化公路物流港零担仓库L409</w:t>
            </w:r>
          </w:p>
        </w:tc>
        <w:tc>
          <w:tcPr>
            <w:tcW w:w="2267" w:type="dxa"/>
          </w:tcPr>
          <w:p>
            <w:pPr>
              <w:rPr>
                <w:b w:val="0"/>
                <w:bCs/>
                <w:lang w:val="de-DE" w:eastAsia="ja-JP"/>
              </w:rPr>
            </w:pPr>
            <w:r>
              <w:rPr>
                <w:rFonts w:ascii="宋体" w:hAnsi="宋体"/>
                <w:b w:val="0"/>
                <w:bCs/>
                <w:color w:val="000000" w:themeColor="text1"/>
                <w:sz w:val="20"/>
                <w:szCs w:val="20"/>
              </w:rPr>
              <w:t>重庆市沙坪坝区垄安大道120号维龙沙坪坝物流园A2号仓库/办公楼</w:t>
            </w:r>
          </w:p>
        </w:tc>
        <w:tc>
          <w:tcPr>
            <w:tcW w:w="571" w:type="dxa"/>
            <w:vAlign w:val="center"/>
          </w:tcPr>
          <w:p>
            <w:pPr>
              <w:rPr>
                <w:rFonts w:hint="default" w:eastAsia="宋体"/>
                <w:lang w:val="en-US" w:eastAsia="zh-CN"/>
              </w:rPr>
            </w:pPr>
            <w:r>
              <w:rPr>
                <w:rFonts w:hint="eastAsia"/>
                <w:lang w:val="en-US" w:eastAsia="zh-CN"/>
              </w:rPr>
              <w:t>20</w:t>
            </w:r>
          </w:p>
        </w:tc>
        <w:tc>
          <w:tcPr>
            <w:tcW w:w="2489" w:type="dxa"/>
            <w:vAlign w:val="center"/>
          </w:tcPr>
          <w:p>
            <w:pPr>
              <w:rPr>
                <w:lang w:eastAsia="ja-JP"/>
              </w:rPr>
            </w:pPr>
            <w:r>
              <w:rPr>
                <w:rFonts w:hint="eastAsia"/>
              </w:rPr>
              <w:t>许可范围内的普通货运</w:t>
            </w:r>
          </w:p>
        </w:tc>
        <w:tc>
          <w:tcPr>
            <w:tcW w:w="1095" w:type="dxa"/>
            <w:vAlign w:val="center"/>
          </w:tcPr>
          <w:p>
            <w:pPr>
              <w:rPr>
                <w:lang w:eastAsia="ja-JP"/>
              </w:rPr>
            </w:pPr>
            <w:r>
              <w:rPr>
                <w:rFonts w:hint="eastAsia"/>
                <w:lang w:eastAsia="ja-JP"/>
              </w:rPr>
              <w:t>GB/T19001-2016/ISO9001:2015</w:t>
            </w:r>
          </w:p>
        </w:tc>
        <w:tc>
          <w:tcPr>
            <w:tcW w:w="556"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b w:val="0"/>
                <w:bCs/>
                <w:kern w:val="2"/>
                <w:sz w:val="21"/>
                <w:szCs w:val="24"/>
                <w:lang w:val="en-US" w:eastAsia="ja-JP" w:bidi="ar-SA"/>
              </w:rPr>
            </w:pPr>
            <w:r>
              <w:rPr>
                <w:rFonts w:ascii="宋体" w:hAnsi="宋体"/>
                <w:b w:val="0"/>
                <w:bCs/>
                <w:color w:val="000000" w:themeColor="text1"/>
                <w:sz w:val="20"/>
                <w:szCs w:val="20"/>
              </w:rPr>
              <w:t>重庆伯仲物流有限公司</w:t>
            </w:r>
            <w:r>
              <w:rPr>
                <w:rFonts w:hint="eastAsia" w:ascii="宋体" w:hAnsi="宋体"/>
                <w:b w:val="0"/>
                <w:bCs/>
                <w:color w:val="000000" w:themeColor="text1"/>
                <w:sz w:val="20"/>
                <w:szCs w:val="20"/>
                <w:lang w:val="en-US" w:eastAsia="zh-CN"/>
              </w:rPr>
              <w:t>/</w:t>
            </w:r>
            <w:r>
              <w:rPr>
                <w:rFonts w:ascii="宋体" w:hAnsi="宋体"/>
                <w:b w:val="0"/>
                <w:bCs/>
                <w:color w:val="000000" w:themeColor="text1"/>
                <w:sz w:val="20"/>
                <w:szCs w:val="20"/>
              </w:rPr>
              <w:t>重庆市沙坪坝区西部现代物流园垄安大道传化公路物流港零担仓库L409</w:t>
            </w:r>
          </w:p>
        </w:tc>
        <w:tc>
          <w:tcPr>
            <w:tcW w:w="2267" w:type="dxa"/>
            <w:vAlign w:val="top"/>
          </w:tcPr>
          <w:p>
            <w:pPr>
              <w:rPr>
                <w:rFonts w:ascii="Times New Roman" w:hAnsi="Times New Roman" w:eastAsia="宋体" w:cs="Times New Roman"/>
                <w:b w:val="0"/>
                <w:bCs/>
                <w:kern w:val="2"/>
                <w:sz w:val="21"/>
                <w:szCs w:val="24"/>
                <w:lang w:val="de-DE" w:eastAsia="ja-JP" w:bidi="ar-SA"/>
              </w:rPr>
            </w:pPr>
            <w:r>
              <w:rPr>
                <w:rFonts w:ascii="宋体" w:hAnsi="宋体"/>
                <w:b w:val="0"/>
                <w:bCs/>
                <w:color w:val="000000" w:themeColor="text1"/>
                <w:sz w:val="20"/>
                <w:szCs w:val="20"/>
              </w:rPr>
              <w:t>重庆市沙坪坝区垄安大道120号维龙沙坪坝物流园A2号仓库/办公楼</w:t>
            </w:r>
          </w:p>
        </w:tc>
        <w:tc>
          <w:tcPr>
            <w:tcW w:w="571" w:type="dxa"/>
            <w:vAlign w:val="center"/>
          </w:tcPr>
          <w:p>
            <w:pPr>
              <w:rPr>
                <w:rFonts w:hint="default" w:eastAsia="宋体"/>
                <w:lang w:val="en-US" w:eastAsia="zh-CN"/>
              </w:rPr>
            </w:pPr>
            <w:r>
              <w:rPr>
                <w:rFonts w:hint="eastAsia"/>
                <w:lang w:val="en-US" w:eastAsia="zh-CN"/>
              </w:rPr>
              <w:t>20</w:t>
            </w:r>
          </w:p>
        </w:tc>
        <w:tc>
          <w:tcPr>
            <w:tcW w:w="2489" w:type="dxa"/>
            <w:vAlign w:val="center"/>
          </w:tcPr>
          <w:p>
            <w:pPr>
              <w:rPr>
                <w:lang w:eastAsia="ja-JP"/>
              </w:rPr>
            </w:pPr>
            <w:r>
              <w:rPr>
                <w:rFonts w:hint="eastAsia"/>
              </w:rPr>
              <w:t>许可范围内的普通货运所涉及的相关环境管理活动</w:t>
            </w:r>
          </w:p>
        </w:tc>
        <w:tc>
          <w:tcPr>
            <w:tcW w:w="1095" w:type="dxa"/>
            <w:vAlign w:val="center"/>
          </w:tcPr>
          <w:p>
            <w:pPr>
              <w:rPr>
                <w:lang w:eastAsia="ja-JP"/>
              </w:rPr>
            </w:pPr>
            <w:r>
              <w:rPr>
                <w:rFonts w:hint="eastAsia"/>
                <w:lang w:eastAsia="ja-JP"/>
              </w:rPr>
              <w:t>GB/T 24001-2016/ISO14001:2015</w:t>
            </w:r>
          </w:p>
        </w:tc>
        <w:tc>
          <w:tcPr>
            <w:tcW w:w="556"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b w:val="0"/>
                <w:bCs/>
                <w:kern w:val="2"/>
                <w:sz w:val="21"/>
                <w:szCs w:val="24"/>
                <w:lang w:val="en-US" w:eastAsia="ja-JP" w:bidi="ar-SA"/>
              </w:rPr>
            </w:pPr>
            <w:r>
              <w:rPr>
                <w:rFonts w:ascii="宋体" w:hAnsi="宋体"/>
                <w:b w:val="0"/>
                <w:bCs/>
                <w:color w:val="000000" w:themeColor="text1"/>
                <w:sz w:val="20"/>
                <w:szCs w:val="20"/>
              </w:rPr>
              <w:t>重庆伯仲物流有限公司</w:t>
            </w:r>
            <w:r>
              <w:rPr>
                <w:rFonts w:hint="eastAsia" w:ascii="宋体" w:hAnsi="宋体"/>
                <w:b w:val="0"/>
                <w:bCs/>
                <w:color w:val="000000" w:themeColor="text1"/>
                <w:sz w:val="20"/>
                <w:szCs w:val="20"/>
                <w:lang w:val="en-US" w:eastAsia="zh-CN"/>
              </w:rPr>
              <w:t>/</w:t>
            </w:r>
            <w:r>
              <w:rPr>
                <w:rFonts w:ascii="宋体" w:hAnsi="宋体"/>
                <w:b w:val="0"/>
                <w:bCs/>
                <w:color w:val="000000" w:themeColor="text1"/>
                <w:sz w:val="20"/>
                <w:szCs w:val="20"/>
              </w:rPr>
              <w:t>重庆市沙坪坝区西部现代物流园垄安大道传化公路物流港零担仓库L409</w:t>
            </w:r>
          </w:p>
        </w:tc>
        <w:tc>
          <w:tcPr>
            <w:tcW w:w="2267" w:type="dxa"/>
            <w:vAlign w:val="top"/>
          </w:tcPr>
          <w:p>
            <w:pPr>
              <w:rPr>
                <w:rFonts w:ascii="Times New Roman" w:hAnsi="Times New Roman" w:eastAsia="宋体" w:cs="Times New Roman"/>
                <w:b w:val="0"/>
                <w:bCs/>
                <w:kern w:val="2"/>
                <w:sz w:val="21"/>
                <w:szCs w:val="24"/>
                <w:lang w:val="de-DE" w:eastAsia="ja-JP" w:bidi="ar-SA"/>
              </w:rPr>
            </w:pPr>
            <w:r>
              <w:rPr>
                <w:rFonts w:ascii="宋体" w:hAnsi="宋体"/>
                <w:b w:val="0"/>
                <w:bCs/>
                <w:color w:val="000000" w:themeColor="text1"/>
                <w:sz w:val="20"/>
                <w:szCs w:val="20"/>
              </w:rPr>
              <w:t>重庆市沙坪坝区垄安大道120号维龙沙坪坝物流园A2号仓库/办公楼</w:t>
            </w:r>
          </w:p>
        </w:tc>
        <w:tc>
          <w:tcPr>
            <w:tcW w:w="571" w:type="dxa"/>
            <w:vAlign w:val="center"/>
          </w:tcPr>
          <w:p>
            <w:pPr>
              <w:rPr>
                <w:rFonts w:hint="default" w:eastAsia="宋体"/>
                <w:lang w:val="en-US" w:eastAsia="zh-CN"/>
              </w:rPr>
            </w:pPr>
            <w:r>
              <w:rPr>
                <w:rFonts w:hint="eastAsia"/>
                <w:lang w:val="en-US" w:eastAsia="zh-CN"/>
              </w:rPr>
              <w:t>20</w:t>
            </w:r>
          </w:p>
        </w:tc>
        <w:tc>
          <w:tcPr>
            <w:tcW w:w="2489" w:type="dxa"/>
            <w:vAlign w:val="center"/>
          </w:tcPr>
          <w:p>
            <w:pPr>
              <w:rPr>
                <w:lang w:eastAsia="ja-JP"/>
              </w:rPr>
            </w:pPr>
            <w:r>
              <w:rPr>
                <w:rFonts w:hint="eastAsia"/>
              </w:rPr>
              <w:t>许可范围内的普通货运所涉及的相关职业健康安全管理活动</w:t>
            </w:r>
          </w:p>
        </w:tc>
        <w:tc>
          <w:tcPr>
            <w:tcW w:w="1095" w:type="dxa"/>
            <w:vAlign w:val="center"/>
          </w:tcPr>
          <w:p>
            <w:pPr>
              <w:rPr>
                <w:lang w:eastAsia="ja-JP"/>
              </w:rPr>
            </w:pPr>
            <w:r>
              <w:rPr>
                <w:rFonts w:hint="eastAsia"/>
                <w:lang w:eastAsia="ja-JP"/>
              </w:rPr>
              <w:t>GB/T45001-2020 / ISO45001：2018</w:t>
            </w:r>
          </w:p>
        </w:tc>
        <w:tc>
          <w:tcPr>
            <w:tcW w:w="556"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9" w:type="dxa"/>
            <w:vAlign w:val="center"/>
          </w:tcPr>
          <w:p>
            <w:pPr>
              <w:rPr>
                <w:lang w:eastAsia="ja-JP"/>
              </w:rPr>
            </w:pPr>
          </w:p>
        </w:tc>
        <w:tc>
          <w:tcPr>
            <w:tcW w:w="1095" w:type="dxa"/>
            <w:vAlign w:val="center"/>
          </w:tcPr>
          <w:p>
            <w:pPr>
              <w:rPr>
                <w:lang w:eastAsia="ja-JP"/>
              </w:rPr>
            </w:pPr>
          </w:p>
        </w:tc>
        <w:tc>
          <w:tcPr>
            <w:tcW w:w="556"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9" w:type="dxa"/>
            <w:vAlign w:val="center"/>
          </w:tcPr>
          <w:p>
            <w:pPr>
              <w:rPr>
                <w:lang w:eastAsia="ja-JP"/>
              </w:rPr>
            </w:pPr>
          </w:p>
        </w:tc>
        <w:tc>
          <w:tcPr>
            <w:tcW w:w="1095" w:type="dxa"/>
            <w:vAlign w:val="center"/>
          </w:tcPr>
          <w:p>
            <w:pPr>
              <w:rPr>
                <w:lang w:eastAsia="ja-JP"/>
              </w:rPr>
            </w:pPr>
          </w:p>
        </w:tc>
        <w:tc>
          <w:tcPr>
            <w:tcW w:w="556"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2018-N1EMS-1230067</w:t>
            </w:r>
          </w:p>
          <w:p>
            <w:r>
              <w:t>2021-N1OHSMS-2230067</w:t>
            </w:r>
          </w:p>
        </w:tc>
        <w:tc>
          <w:tcPr>
            <w:tcW w:w="2179" w:type="dxa"/>
            <w:vAlign w:val="center"/>
          </w:tcPr>
          <w:p>
            <w:r>
              <w:t>Q:31.04.01</w:t>
            </w:r>
          </w:p>
          <w:p>
            <w:r>
              <w:t>E:31.04.01</w:t>
            </w:r>
          </w:p>
          <w:p>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2021-N0OHSMS-1267598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2021-N0OHSMS-1262293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已完成整改，且无类似问题再次发生，整改有效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ascii="宋体" w:hAnsi="宋体" w:eastAsia="宋体" w:cs="宋体"/>
                <w:highlight w:val="none"/>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b/>
                <w:color w:val="000000" w:themeColor="text1"/>
                <w:sz w:val="20"/>
                <w:szCs w:val="20"/>
              </w:rPr>
              <w:t>许可范围内的普通货运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ascii="宋体" w:hAnsi="宋体"/>
                <w:b/>
                <w:color w:val="000000" w:themeColor="text1"/>
                <w:sz w:val="20"/>
                <w:szCs w:val="20"/>
              </w:rPr>
              <w:t>许可范围内的普通货运所涉及的相关环境管理活动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ascii="宋体" w:hAnsi="宋体"/>
                <w:b/>
                <w:color w:val="000000" w:themeColor="text1"/>
                <w:sz w:val="20"/>
                <w:szCs w:val="20"/>
              </w:rPr>
              <w:t>许可范围内的普通货运所涉及的相关职业健康安全管理活动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b/>
                <w:sz w:val="22"/>
                <w:szCs w:val="22"/>
              </w:rPr>
              <w:drawing>
                <wp:anchor distT="0" distB="0" distL="114300" distR="114300" simplePos="0" relativeHeight="251661312" behindDoc="1" locked="0" layoutInCell="1" allowOverlap="1">
                  <wp:simplePos x="0" y="0"/>
                  <wp:positionH relativeFrom="column">
                    <wp:posOffset>295910</wp:posOffset>
                  </wp:positionH>
                  <wp:positionV relativeFrom="paragraph">
                    <wp:posOffset>-2540</wp:posOffset>
                  </wp:positionV>
                  <wp:extent cx="621030" cy="389255"/>
                  <wp:effectExtent l="0" t="0" r="3810"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2021.9.9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科学领先，顾客满意，持续改进，行业领先，服务一流</w:t>
            </w:r>
            <w:r>
              <w:rPr>
                <w:rFonts w:hint="eastAsia"/>
                <w:u w:val="single"/>
                <w:lang w:eastAsia="zh-CN"/>
              </w:rPr>
              <w:t>；预防为主，遵规守法，确保环境安全；以人为本，持续改进，实现平安和谐。</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货运部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服务质量不良造成客户流失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质量管理部门、业务管理部门需与客户沟通好服务质量要求，并编制作业指导书，确保公司与客户双方质量要求一致；</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负责业务人员不定期拜访客户，沟通客户要求，确保服务质量满足客户要求。</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合同履行率100%</w:t>
                  </w:r>
                </w:p>
              </w:tc>
              <w:tc>
                <w:tcPr>
                  <w:tcW w:w="3136" w:type="dxa"/>
                  <w:shd w:val="clear" w:color="auto" w:fill="auto"/>
                  <w:vAlign w:val="center"/>
                </w:tcPr>
                <w:p>
                  <w:pPr>
                    <w:shd w:val="clear" w:color="auto" w:fill="C7DAF1" w:themeFill="text2" w:themeFillTint="32"/>
                    <w:rPr>
                      <w:lang w:val="en-GB"/>
                    </w:rPr>
                  </w:pPr>
                  <w:r>
                    <w:rPr>
                      <w:rFonts w:hint="eastAsia"/>
                      <w:lang w:val="en-GB"/>
                    </w:rPr>
                    <w:t>按时完成数/合同总数*100%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顾客满意率≥90分</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vAlign w:val="top"/>
          </w:tcPr>
          <w:p>
            <w:pPr>
              <w:shd w:val="clear" w:color="auto" w:fill="C7DAF1" w:themeFill="text2"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可基本满足质量管理体系运行，但是还有不足需要补充：</w:t>
            </w:r>
            <w:r>
              <w:rPr>
                <w:rFonts w:hint="eastAsia"/>
                <w:highlight w:val="none"/>
                <w:u w:val="single"/>
              </w:rPr>
              <w:t xml:space="preserve">      </w:t>
            </w:r>
          </w:p>
          <w:p>
            <w:pPr>
              <w:shd w:val="clear" w:color="auto" w:fill="C7DAF1" w:themeFill="text2" w:themeFillTint="32"/>
              <w:rPr>
                <w:rFonts w:ascii="Times New Roman" w:hAnsi="Times New Roman" w:eastAsia="宋体" w:cs="Times New Roman"/>
                <w:kern w:val="2"/>
                <w:sz w:val="21"/>
                <w:szCs w:val="24"/>
                <w:highlight w:val="none"/>
                <w:lang w:val="en-US" w:eastAsia="zh-CN" w:bidi="ar-SA"/>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150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eastAsia="zh-CN"/>
              </w:rPr>
              <w:t>汽车、</w:t>
            </w:r>
            <w:r>
              <w:rPr>
                <w:rFonts w:hint="eastAsia"/>
                <w:highlight w:val="none"/>
                <w:u w:val="single"/>
                <w:lang w:val="en-US" w:eastAsia="zh-CN"/>
              </w:rPr>
              <w:t>电脑及办公设备</w:t>
            </w:r>
            <w:r>
              <w:rPr>
                <w:rFonts w:hint="eastAsia"/>
                <w:highlight w:val="none"/>
                <w:u w:val="single"/>
              </w:rPr>
              <w:t xml:space="preserve">           （列举2~4种）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rPr>
              <w:t>¨</w:t>
            </w:r>
            <w:r>
              <w:rPr>
                <w:rFonts w:hint="eastAsia"/>
                <w:highlight w:val="none"/>
              </w:rPr>
              <w:t xml:space="preserve">叉车 </w:t>
            </w:r>
            <w:r>
              <w:rPr>
                <w:rFonts w:hint="eastAsia" w:ascii="Wingdings" w:hAnsi="Wingdings"/>
                <w:highlight w:val="none"/>
              </w:rPr>
              <w:t>¨</w:t>
            </w:r>
            <w:r>
              <w:rPr>
                <w:rFonts w:hint="eastAsia"/>
                <w:highlight w:val="none"/>
              </w:rPr>
              <w:t xml:space="preserve">行车 </w:t>
            </w:r>
            <w:r>
              <w:rPr>
                <w:rFonts w:hint="eastAsia" w:ascii="Wingdings" w:hAnsi="Wingdings"/>
                <w:highlight w:val="none"/>
              </w:rPr>
              <w:t>¨</w:t>
            </w:r>
            <w:r>
              <w:rPr>
                <w:rFonts w:hint="eastAsia"/>
                <w:highlight w:val="none"/>
              </w:rPr>
              <w:t xml:space="preserve">锅炉 </w:t>
            </w:r>
            <w:r>
              <w:rPr>
                <w:rFonts w:hint="eastAsia" w:ascii="Wingdings" w:hAnsi="Wingdings"/>
                <w:highlight w:val="none"/>
              </w:rPr>
              <w:t>¨</w:t>
            </w:r>
            <w:r>
              <w:rPr>
                <w:rFonts w:hint="eastAsia"/>
                <w:highlight w:val="none"/>
              </w:rPr>
              <w:t xml:space="preserve">电梯  </w:t>
            </w:r>
            <w:r>
              <w:rPr>
                <w:rFonts w:hint="eastAsia" w:ascii="Wingdings" w:hAnsi="Wingdings"/>
                <w:highlight w:val="none"/>
              </w:rPr>
              <w:t>¨</w:t>
            </w:r>
            <w:r>
              <w:rPr>
                <w:rFonts w:hint="eastAsia"/>
                <w:highlight w:val="none"/>
              </w:rPr>
              <w:t xml:space="preserve">压力容器  </w:t>
            </w:r>
            <w:r>
              <w:rPr>
                <w:rFonts w:hint="eastAsia" w:ascii="Wingdings" w:hAnsi="Wingdings"/>
                <w:highlight w:val="none"/>
              </w:rPr>
              <w:t>¨</w:t>
            </w:r>
            <w:r>
              <w:rPr>
                <w:rFonts w:hint="eastAsia"/>
                <w:highlight w:val="none"/>
              </w:rPr>
              <w:t xml:space="preserve">压力管道  </w:t>
            </w:r>
            <w:r>
              <w:rPr>
                <w:rFonts w:hint="eastAsia"/>
                <w:highlight w:val="none"/>
              </w:rPr>
              <w:sym w:font="Wingdings 2" w:char="0052"/>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rPr>
              <w:t>¨</w:t>
            </w:r>
            <w:r>
              <w:rPr>
                <w:rFonts w:hint="eastAsia"/>
                <w:highlight w:val="none"/>
              </w:rPr>
              <w:t xml:space="preserve">进行了定期检验  </w:t>
            </w:r>
            <w:r>
              <w:rPr>
                <w:rFonts w:hint="eastAsia" w:ascii="Wingdings" w:hAnsi="Wingdings"/>
                <w:highlight w:val="none"/>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9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highlight w:val="none"/>
                <w:lang w:eastAsia="zh-CN"/>
              </w:rPr>
              <w:t>☑</w:t>
            </w:r>
            <w:r>
              <w:rPr>
                <w:rFonts w:hint="eastAsia"/>
                <w:highlight w:val="none"/>
              </w:rPr>
              <w:t xml:space="preserve">计量器具   </w:t>
            </w:r>
            <w:r>
              <w:rPr>
                <w:rFonts w:hint="eastAsia" w:ascii="Wingdings" w:hAnsi="Wingdings"/>
                <w:highlight w:val="none"/>
              </w:rPr>
              <w:t>¨</w:t>
            </w:r>
            <w:r>
              <w:rPr>
                <w:rFonts w:hint="eastAsia"/>
                <w:highlight w:val="none"/>
              </w:rPr>
              <w:t xml:space="preserve">服务流程检查表  </w:t>
            </w:r>
            <w:r>
              <w:rPr>
                <w:rFonts w:hint="eastAsia" w:ascii="Wingdings" w:hAnsi="Wingdings"/>
                <w:highlight w:val="none"/>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lang w:eastAsia="zh-CN"/>
              </w:rPr>
              <w:t>☑</w:t>
            </w:r>
            <w:r>
              <w:rPr>
                <w:rFonts w:hint="eastAsia"/>
                <w:highlight w:val="none"/>
              </w:rPr>
              <w:t xml:space="preserve">自校   </w:t>
            </w:r>
            <w:r>
              <w:rPr>
                <w:rFonts w:hint="eastAsia" w:ascii="Wingdings" w:hAnsi="Wingdings"/>
                <w:highlight w:val="none"/>
              </w:rPr>
              <w:t>¨</w:t>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卫星定位监控设备（GPS）             （列举1~4种）</w:t>
            </w:r>
          </w:p>
          <w:p>
            <w:pPr>
              <w:shd w:val="clear" w:color="auto" w:fill="C7DAF1" w:themeFill="text2" w:themeFillTint="32"/>
              <w:rPr>
                <w:u w:val="single"/>
              </w:rPr>
            </w:pPr>
            <w:r>
              <w:rPr>
                <w:rFonts w:hint="eastAsia"/>
                <w:highlight w:val="none"/>
              </w:rPr>
              <w:t>计量器具管理：</w:t>
            </w:r>
            <w:r>
              <w:rPr>
                <w:rFonts w:hint="eastAsia"/>
                <w:highlight w:val="none"/>
                <w:lang w:eastAsia="zh-CN"/>
              </w:rPr>
              <w:t>☑</w:t>
            </w:r>
            <w:r>
              <w:rPr>
                <w:rFonts w:hint="eastAsia"/>
                <w:highlight w:val="none"/>
              </w:rPr>
              <w:t xml:space="preserve">进行了定期校准/检定  </w:t>
            </w:r>
            <w:r>
              <w:rPr>
                <w:rFonts w:hint="eastAsia" w:ascii="Wingdings" w:hAnsi="Wingdings"/>
                <w:highlight w:val="none"/>
              </w:rPr>
              <w:t>¨</w:t>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外包过程：物运输业务、货运车辆保养维护</w:t>
            </w:r>
            <w:r>
              <w:rPr>
                <w:rFonts w:hint="eastAsia"/>
                <w:u w:val="single"/>
              </w:rPr>
              <w:t xml:space="preserve"> </w:t>
            </w:r>
            <w:r>
              <w:rPr>
                <w:rFonts w:hint="eastAsia"/>
                <w:u w:val="single"/>
                <w:lang w:val="en-US" w:eastAsia="zh-CN"/>
              </w:rPr>
              <w:t>提供有外包合同</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none"/>
                    </w:rPr>
                  </w:pPr>
                  <w:r>
                    <w:rPr>
                      <w:rFonts w:hint="eastAsia"/>
                      <w:sz w:val="20"/>
                      <w:szCs w:val="22"/>
                      <w:highlight w:val="none"/>
                    </w:rPr>
                    <w:t>产品/服务名称</w:t>
                  </w:r>
                </w:p>
              </w:tc>
              <w:tc>
                <w:tcPr>
                  <w:tcW w:w="3665" w:type="dxa"/>
                </w:tcPr>
                <w:p>
                  <w:pPr>
                    <w:shd w:val="clear" w:color="auto" w:fill="C7DAF1" w:themeFill="text2" w:themeFillTint="32"/>
                    <w:jc w:val="left"/>
                    <w:rPr>
                      <w:sz w:val="20"/>
                      <w:szCs w:val="22"/>
                      <w:highlight w:val="none"/>
                    </w:rPr>
                  </w:pPr>
                  <w:r>
                    <w:rPr>
                      <w:rFonts w:hint="eastAsia"/>
                      <w:sz w:val="20"/>
                      <w:szCs w:val="22"/>
                      <w:highlight w:val="none"/>
                    </w:rPr>
                    <w:t>关键过程</w:t>
                  </w:r>
                </w:p>
              </w:tc>
              <w:tc>
                <w:tcPr>
                  <w:tcW w:w="3265" w:type="dxa"/>
                </w:tcPr>
                <w:p>
                  <w:pPr>
                    <w:shd w:val="clear" w:color="auto" w:fill="C7DAF1" w:themeFill="text2" w:themeFillTint="32"/>
                    <w:jc w:val="left"/>
                    <w:rPr>
                      <w:sz w:val="20"/>
                      <w:szCs w:val="22"/>
                      <w:highlight w:val="none"/>
                    </w:rPr>
                  </w:pPr>
                  <w:r>
                    <w:rPr>
                      <w:rFonts w:hint="eastAsia"/>
                      <w:sz w:val="20"/>
                      <w:szCs w:val="22"/>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sz w:val="20"/>
                      <w:szCs w:val="22"/>
                      <w:highlight w:val="none"/>
                      <w:lang w:val="en-US" w:eastAsia="zh-CN"/>
                    </w:rPr>
                  </w:pPr>
                  <w:r>
                    <w:rPr>
                      <w:rFonts w:hint="eastAsia"/>
                      <w:sz w:val="20"/>
                      <w:szCs w:val="22"/>
                      <w:highlight w:val="none"/>
                      <w:lang w:val="en-US" w:eastAsia="zh-CN"/>
                    </w:rPr>
                    <w:t>普通货运</w:t>
                  </w:r>
                </w:p>
              </w:tc>
              <w:tc>
                <w:tcPr>
                  <w:tcW w:w="3665" w:type="dxa"/>
                </w:tcPr>
                <w:p>
                  <w:pPr>
                    <w:shd w:val="clear" w:color="auto" w:fill="C7DAF1" w:themeFill="text2" w:themeFillTint="32"/>
                    <w:jc w:val="left"/>
                    <w:rPr>
                      <w:rFonts w:hint="default" w:eastAsia="宋体"/>
                      <w:sz w:val="20"/>
                      <w:szCs w:val="22"/>
                      <w:highlight w:val="none"/>
                      <w:lang w:val="en-US" w:eastAsia="zh-CN"/>
                    </w:rPr>
                  </w:pPr>
                  <w:r>
                    <w:rPr>
                      <w:rFonts w:hint="eastAsia"/>
                      <w:sz w:val="20"/>
                      <w:szCs w:val="22"/>
                      <w:highlight w:val="none"/>
                      <w:lang w:val="en-US" w:eastAsia="zh-CN"/>
                    </w:rPr>
                    <w:t>运输过程</w:t>
                  </w:r>
                </w:p>
              </w:tc>
              <w:tc>
                <w:tcPr>
                  <w:tcW w:w="3265" w:type="dxa"/>
                </w:tcPr>
                <w:p>
                  <w:pPr>
                    <w:shd w:val="clear" w:color="auto" w:fill="C7DAF1" w:themeFill="text2" w:themeFillTint="32"/>
                    <w:jc w:val="left"/>
                    <w:rPr>
                      <w:rFonts w:hint="default" w:eastAsia="宋体"/>
                      <w:sz w:val="20"/>
                      <w:szCs w:val="22"/>
                      <w:highlight w:val="none"/>
                      <w:lang w:val="en-US" w:eastAsia="zh-CN"/>
                    </w:rPr>
                  </w:pPr>
                  <w:r>
                    <w:rPr>
                      <w:rFonts w:hint="eastAsia"/>
                      <w:sz w:val="20"/>
                      <w:szCs w:val="22"/>
                      <w:highlight w:val="none"/>
                      <w:lang w:val="en-US" w:eastAsia="zh-CN"/>
                    </w:rPr>
                    <w:t>运输路线，车辆维护保养，货物防护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red"/>
                    </w:rPr>
                  </w:pPr>
                </w:p>
              </w:tc>
              <w:tc>
                <w:tcPr>
                  <w:tcW w:w="3665" w:type="dxa"/>
                </w:tcPr>
                <w:p>
                  <w:pPr>
                    <w:shd w:val="clear" w:color="auto" w:fill="C7DAF1" w:themeFill="text2" w:themeFillTint="32"/>
                    <w:jc w:val="left"/>
                    <w:rPr>
                      <w:sz w:val="20"/>
                      <w:szCs w:val="22"/>
                      <w:highlight w:val="red"/>
                    </w:rPr>
                  </w:pPr>
                </w:p>
              </w:tc>
              <w:tc>
                <w:tcPr>
                  <w:tcW w:w="3265" w:type="dxa"/>
                </w:tcPr>
                <w:p>
                  <w:pPr>
                    <w:shd w:val="clear" w:color="auto" w:fill="C7DAF1" w:themeFill="text2" w:themeFillTint="32"/>
                    <w:jc w:val="left"/>
                    <w:rPr>
                      <w:sz w:val="20"/>
                      <w:szCs w:val="22"/>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szCs w:val="22"/>
                      <w:highlight w:val="red"/>
                    </w:rPr>
                  </w:pPr>
                </w:p>
              </w:tc>
              <w:tc>
                <w:tcPr>
                  <w:tcW w:w="3665" w:type="dxa"/>
                </w:tcPr>
                <w:p>
                  <w:pPr>
                    <w:shd w:val="clear" w:color="auto" w:fill="C7DAF1" w:themeFill="text2" w:themeFillTint="32"/>
                    <w:jc w:val="left"/>
                    <w:rPr>
                      <w:sz w:val="20"/>
                      <w:szCs w:val="22"/>
                      <w:highlight w:val="red"/>
                    </w:rPr>
                  </w:pPr>
                </w:p>
              </w:tc>
              <w:tc>
                <w:tcPr>
                  <w:tcW w:w="3265" w:type="dxa"/>
                </w:tcPr>
                <w:p>
                  <w:pPr>
                    <w:shd w:val="clear" w:color="auto" w:fill="C7DAF1" w:themeFill="text2" w:themeFillTint="32"/>
                    <w:jc w:val="left"/>
                    <w:rPr>
                      <w:sz w:val="20"/>
                      <w:szCs w:val="22"/>
                      <w:highlight w:val="red"/>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color w:val="000000"/>
                <w:u w:val="single"/>
                <w:lang w:val="en-US" w:eastAsia="zh-CN"/>
              </w:rPr>
              <w:t>无</w:t>
            </w:r>
            <w:r>
              <w:rPr>
                <w:rFonts w:hint="eastAsia" w:ascii="Times New Roman" w:hAnsi="Times New Roman" w:eastAsia="宋体" w:cs="Times New Roman"/>
                <w:color w:val="000000"/>
                <w:u w:val="single"/>
              </w:rPr>
              <w:t xml:space="preserve"> </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提供过程确认记录</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sym w:font="Wingdings 2" w:char="0052"/>
            </w:r>
            <w:r>
              <w:rPr>
                <w:rFonts w:hint="eastAsia"/>
              </w:rPr>
              <w:t xml:space="preserve">赔偿 </w:t>
            </w:r>
            <w:r>
              <w:rPr>
                <w:rFonts w:hint="eastAsia" w:ascii="Wingdings" w:hAnsi="Wingdings"/>
                <w:lang w:eastAsia="zh-CN"/>
              </w:rPr>
              <w:sym w:font="Wingdings 2" w:char="0052"/>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yellow"/>
                <w:lang w:eastAsia="ja-JP"/>
              </w:rPr>
            </w:pPr>
          </w:p>
        </w:tc>
        <w:tc>
          <w:tcPr>
            <w:tcW w:w="650" w:type="dxa"/>
            <w:vAlign w:val="center"/>
          </w:tcPr>
          <w:p>
            <w:pPr>
              <w:shd w:val="clear" w:color="auto" w:fill="C7DAF1" w:themeFill="text2" w:themeFillTint="32"/>
              <w:rPr>
                <w:highlight w:val="yellow"/>
                <w:lang w:eastAsia="ja-JP"/>
              </w:rPr>
            </w:pPr>
          </w:p>
        </w:tc>
        <w:tc>
          <w:tcPr>
            <w:tcW w:w="650" w:type="dxa"/>
            <w:vAlign w:val="center"/>
          </w:tcPr>
          <w:p>
            <w:pPr>
              <w:shd w:val="clear" w:color="auto" w:fill="C7DAF1" w:themeFill="text2" w:themeFillTint="32"/>
              <w:rPr>
                <w:highlight w:val="yellow"/>
                <w:lang w:eastAsia="ja-JP"/>
              </w:rPr>
            </w:pPr>
          </w:p>
        </w:tc>
        <w:tc>
          <w:tcPr>
            <w:tcW w:w="649" w:type="dxa"/>
            <w:vAlign w:val="center"/>
          </w:tcPr>
          <w:p>
            <w:pPr>
              <w:shd w:val="clear" w:color="auto" w:fill="C7DAF1" w:themeFill="text2" w:themeFillTint="32"/>
              <w:rPr>
                <w:highlight w:val="yellow"/>
                <w:lang w:eastAsia="ja-JP"/>
              </w:rPr>
            </w:pPr>
          </w:p>
        </w:tc>
        <w:tc>
          <w:tcPr>
            <w:tcW w:w="650" w:type="dxa"/>
            <w:vAlign w:val="center"/>
          </w:tcPr>
          <w:p>
            <w:pPr>
              <w:shd w:val="clear" w:color="auto" w:fill="C7DAF1" w:themeFill="text2" w:themeFillTint="32"/>
              <w:rPr>
                <w:highlight w:val="yellow"/>
                <w:lang w:eastAsia="ja-JP"/>
              </w:rPr>
            </w:pPr>
          </w:p>
        </w:tc>
        <w:tc>
          <w:tcPr>
            <w:tcW w:w="650" w:type="dxa"/>
            <w:vAlign w:val="center"/>
          </w:tcPr>
          <w:p>
            <w:pPr>
              <w:shd w:val="clear" w:color="auto" w:fill="C7DAF1" w:themeFill="text2" w:themeFillTint="32"/>
              <w:rPr>
                <w:highlight w:val="yellow"/>
                <w:lang w:eastAsia="ja-JP"/>
              </w:rPr>
            </w:pP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49"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c>
          <w:tcPr>
            <w:tcW w:w="650" w:type="dxa"/>
            <w:shd w:val="pct25" w:color="auto" w:fill="auto"/>
            <w:vAlign w:val="center"/>
          </w:tcPr>
          <w:p>
            <w:pPr>
              <w:shd w:val="clear" w:color="auto" w:fill="C7DAF1" w:themeFill="text2" w:themeFillTint="32"/>
              <w:rPr>
                <w:highlight w:val="yellow"/>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w:t>
            </w:r>
            <w:r>
              <w:rPr>
                <w:rFonts w:hint="eastAsia"/>
              </w:rPr>
              <w:sym w:font="Wingdings 2" w:char="0052"/>
            </w:r>
            <w:r>
              <w:rPr>
                <w:rFonts w:hint="eastAsia"/>
              </w:rPr>
              <w:t xml:space="preserve">人力资源□营销和市场  □生产 □检验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52"/>
            </w:r>
            <w:r>
              <w:rPr>
                <w:rFonts w:hint="eastAsia"/>
              </w:rPr>
              <w:t xml:space="preserve">生产/服务过程 □环保监测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科学领先，顾客满意，持续改进，行业领先，服务一流</w:t>
            </w:r>
            <w:r>
              <w:rPr>
                <w:rFonts w:hint="eastAsia"/>
                <w:u w:val="single"/>
                <w:lang w:eastAsia="zh-CN"/>
              </w:rPr>
              <w:t>；预防为主，遵规守法，确保环境安全；以人为本，持续改进，实现平安和谐。</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□资源消耗 □废水排放  □废气排放 □粉尘排放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rPr>
              <w:sym w:font="Wingdings 2" w:char="0052"/>
            </w:r>
            <w:r>
              <w:rPr>
                <w:rFonts w:hint="eastAsia"/>
              </w:rPr>
              <w:t xml:space="preserve">设备降噪  □危废合法处置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火灾发生率为0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固废处置合规率100%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汽车、电脑和办公设备</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color w:val="000000"/>
                <w:highlight w:val="none"/>
                <w:u w:val="single"/>
                <w:lang w:val="en-US" w:eastAsia="zh-CN"/>
              </w:rPr>
              <w:t>GPS定位器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vAlign w:val="center"/>
                </w:tcPr>
                <w:p>
                  <w:pPr>
                    <w:spacing w:line="360" w:lineRule="exact"/>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rPr>
              <w:t>日进行了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w:t>
            </w:r>
            <w:r>
              <w:rPr>
                <w:rFonts w:hint="eastAsia"/>
              </w:rPr>
              <w:t xml:space="preserve">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科学领先，顾客满意，持续改进，行业领先，服务一流</w:t>
            </w:r>
            <w:r>
              <w:rPr>
                <w:rFonts w:hint="eastAsia"/>
                <w:u w:val="single"/>
                <w:lang w:eastAsia="zh-CN"/>
              </w:rPr>
              <w:t>；预防为主，遵规守法，确保环境安全；以人为本，持续改进，实现平安和谐。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员工代表是——李祥华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货运过程</w:t>
                  </w:r>
                </w:p>
              </w:tc>
              <w:tc>
                <w:tcPr>
                  <w:tcW w:w="3965" w:type="dxa"/>
                </w:tcPr>
                <w:p>
                  <w:pPr>
                    <w:rPr>
                      <w:rFonts w:hint="default" w:eastAsia="宋体"/>
                      <w:lang w:val="en-US" w:eastAsia="zh-CN"/>
                    </w:rPr>
                  </w:pPr>
                  <w:r>
                    <w:rPr>
                      <w:rFonts w:hint="eastAsia"/>
                      <w:lang w:val="en-US" w:eastAsia="zh-CN"/>
                    </w:rPr>
                    <w:t>准时法律法规，加强安全培训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□触电 □化学伤害  □噪声 □粉尘  □危险作业 □高低温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 xml:space="preserve">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火灾发生率为0</w:t>
                  </w:r>
                </w:p>
              </w:tc>
              <w:tc>
                <w:tcPr>
                  <w:tcW w:w="3136" w:type="dxa"/>
                  <w:shd w:val="clear" w:color="auto" w:fill="auto"/>
                  <w:vAlign w:val="center"/>
                </w:tcPr>
                <w:p>
                  <w:pPr>
                    <w:rPr>
                      <w:rFonts w:hint="default" w:eastAsia="宋体"/>
                      <w:lang w:val="en-US" w:eastAsia="zh-CN"/>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员工意外伤害为0</w:t>
                  </w:r>
                </w:p>
              </w:tc>
              <w:tc>
                <w:tcPr>
                  <w:tcW w:w="3136" w:type="dxa"/>
                  <w:shd w:val="clear" w:color="auto" w:fill="auto"/>
                  <w:vAlign w:val="center"/>
                </w:tcPr>
                <w:p>
                  <w:pPr>
                    <w:rPr>
                      <w:rFonts w:ascii="宋体" w:hAnsi="宋体"/>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汽车、电脑和办公设备</w:t>
            </w:r>
            <w:r>
              <w:rPr>
                <w:rFonts w:hint="eastAsia"/>
                <w:u w:val="single"/>
              </w:rPr>
              <w:t xml:space="preserve">                  （列举2~4种）</w:t>
            </w:r>
          </w:p>
          <w:p>
            <w:r>
              <w:rPr>
                <w:rFonts w:hint="eastAsia"/>
              </w:rPr>
              <w:t>主要安全装置有：</w:t>
            </w:r>
          </w:p>
          <w:p>
            <w:r>
              <w:rPr>
                <w:rFonts w:hint="eastAsia" w:ascii="Wingdings" w:hAnsi="Wingdings"/>
              </w:rPr>
              <w:t>¨</w:t>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 xml:space="preserve">计量器具管理： </w:t>
            </w:r>
            <w:r>
              <w:rPr>
                <w:rFonts w:hint="eastAsia" w:ascii="Wingdings" w:hAnsi="Wingdings"/>
                <w:lang w:eastAsia="zh-CN"/>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应急演练</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pPr>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10 </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 。</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yellow"/>
                <w:lang w:eastAsia="ja-JP"/>
              </w:rPr>
            </w:pPr>
          </w:p>
        </w:tc>
        <w:tc>
          <w:tcPr>
            <w:tcW w:w="769" w:type="dxa"/>
            <w:tcBorders>
              <w:bottom w:val="single" w:color="auto" w:sz="4" w:space="0"/>
            </w:tcBorders>
            <w:shd w:val="clear" w:color="auto" w:fill="F2DCDC" w:themeFill="accent2" w:themeFillTint="32"/>
            <w:vAlign w:val="center"/>
          </w:tcPr>
          <w:p>
            <w:pPr>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yellow"/>
                <w:lang w:eastAsia="ja-JP"/>
              </w:rPr>
            </w:pPr>
          </w:p>
        </w:tc>
        <w:tc>
          <w:tcPr>
            <w:tcW w:w="769" w:type="dxa"/>
            <w:shd w:val="clear" w:color="auto" w:fill="F2DCDC" w:themeFill="accent2" w:themeFillTint="32"/>
            <w:vAlign w:val="center"/>
          </w:tcPr>
          <w:p>
            <w:pPr>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53B7A"/>
    <w:rsid w:val="14CB7BD7"/>
    <w:rsid w:val="371B19C3"/>
    <w:rsid w:val="5191628E"/>
    <w:rsid w:val="5FE277E2"/>
    <w:rsid w:val="72746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2021-09-09T07:47:42Z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