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通化石油工具股份有限公司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0151-2018-2021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0151-2018-2021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通化石油工具股份有限公司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宋振东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ISC-2018-0332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2023-11-18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2021年09月17日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-9月18日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管理层/质量管理部/生产部（生产车间）/技术部</w:t>
            </w:r>
          </w:p>
          <w:p>
            <w:pPr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市场部/ 行政部/销售采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购部/仓库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份，顾客满意度为9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48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转换接头硬度测量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个关键测量过程</w:t>
      </w:r>
      <w:r>
        <w:rPr>
          <w:rFonts w:hint="eastAsia"/>
          <w:szCs w:val="21"/>
          <w:lang w:val="en-US" w:eastAsia="zh-CN"/>
        </w:rPr>
        <w:t>2个重要过程</w:t>
      </w:r>
      <w:r>
        <w:rPr>
          <w:szCs w:val="21"/>
        </w:rPr>
        <w:t>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12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</w:t>
      </w:r>
      <w:r>
        <w:rPr>
          <w:rFonts w:hint="eastAsia"/>
          <w:color w:val="000000" w:themeColor="text1"/>
          <w:szCs w:val="21"/>
          <w:highlight w:val="none"/>
        </w:rPr>
        <w:t>总经理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姚炳华</w:t>
      </w:r>
      <w:bookmarkStart w:id="11" w:name="_GoBack"/>
      <w:bookmarkEnd w:id="11"/>
      <w:r>
        <w:rPr>
          <w:rFonts w:hint="eastAsia"/>
          <w:color w:val="000000" w:themeColor="text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宋振东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布氏硬度计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公司计量部建立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3项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最高标准，测量设备由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质量管理部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负责溯源。公司测量设备除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通用卡尺、高度卡尺、千分尺、百分表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自检外全部委托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吉林省计量科学研究院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、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东北国家计量测试中心辽宁省计量科学研究院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、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通化市计量检定测试所、广东中准检测有限公司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等机构检定/校准抽查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77.6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630" w:firstLineChars="300"/>
        <w:jc w:val="lef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查企业2021年4月磁粉探伤检验报告中，没有编号，保存期限等相关信息，不符合GB/T19022-2003条款中6.2.3记录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符合要求。</w:t>
      </w:r>
    </w:p>
    <w:p>
      <w:pPr>
        <w:spacing w:line="300" w:lineRule="auto"/>
        <w:rPr>
          <w:rFonts w:hint="eastAsia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</w:t>
      </w:r>
      <w:r>
        <w:rPr>
          <w:rFonts w:hint="eastAsia"/>
          <w:bCs/>
          <w:szCs w:val="21"/>
          <w:lang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-9月18日上午一天半的时间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通化石油工具股份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2021.9.18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B5A10"/>
    <w:rsid w:val="34092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3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2021-09-18T01:21:41Z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CFC4F39FA3DA44BABB4DB99823CB9702</vt:lpwstr>
  </property>
</Properties>
</file>