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0942-2021-EnMs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成都虹波实业股份有限公司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成都虹波实业股份有限公司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成都市龙泉驿区成都经济技术开发区南京路198号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四川省成都市龙泉驿区成都经济技术开发区南京路198号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王劲松</w:t>
            </w:r>
            <w:bookmarkEnd w:id="10"/>
          </w:p>
        </w:tc>
        <w:tc>
          <w:tcPr>
            <w:tcW w:w="1313" w:type="dxa"/>
            <w:vAlign w:val="center"/>
          </w:tcPr>
          <w:p>
            <w:r>
              <w:rPr>
                <w:rFonts w:hint="eastAsia"/>
              </w:rPr>
              <w:t>电话.</w:t>
            </w:r>
          </w:p>
        </w:tc>
        <w:tc>
          <w:tcPr>
            <w:tcW w:w="2180" w:type="dxa"/>
            <w:vAlign w:val="center"/>
          </w:tcPr>
          <w:p>
            <w:bookmarkStart w:id="11" w:name="联系人电话"/>
            <w:r>
              <w:t>13880163921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李明琪</w:t>
            </w:r>
            <w:bookmarkEnd w:id="13"/>
          </w:p>
        </w:tc>
        <w:tc>
          <w:tcPr>
            <w:tcW w:w="1313" w:type="dxa"/>
            <w:vAlign w:val="center"/>
          </w:tcPr>
          <w:p>
            <w:r>
              <w:rPr>
                <w:rFonts w:hint="eastAsia"/>
              </w:rPr>
              <w:t>管理者代表</w:t>
            </w:r>
          </w:p>
        </w:tc>
        <w:tc>
          <w:tcPr>
            <w:tcW w:w="2180" w:type="dxa"/>
          </w:tcPr>
          <w:p>
            <w:bookmarkStart w:id="14" w:name="管理者代表"/>
            <w:r>
              <w:t>王劲松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ind w:left="360" w:hanging="360"/>
              <w:rPr>
                <w:rFonts w:hint="eastAsia" w:ascii="宋体"/>
                <w:color w:val="000000"/>
                <w:szCs w:val="21"/>
              </w:rPr>
            </w:pPr>
            <w:r>
              <w:rPr>
                <w:rFonts w:hint="eastAsia" w:ascii="宋体"/>
                <w:color w:val="000000"/>
                <w:szCs w:val="21"/>
                <w:lang w:val="en-US" w:eastAsia="zh-CN"/>
              </w:rPr>
              <w:t>1、</w:t>
            </w:r>
            <w:r>
              <w:rPr>
                <w:rFonts w:hint="eastAsia" w:ascii="宋体"/>
                <w:color w:val="000000"/>
                <w:szCs w:val="21"/>
              </w:rPr>
              <w:t>钼/钨的氧化物——经还原——钼/钨粉——经压制烧结——钼/钨金属烧结制品（包括钼/钨棒、钼/钨板、异形件、特种合金等）钼/钨金属烧结制品可继续深加工</w:t>
            </w:r>
          </w:p>
          <w:p>
            <w:pPr>
              <w:tabs>
                <w:tab w:val="left" w:pos="360"/>
              </w:tabs>
              <w:ind w:left="360" w:hanging="360"/>
              <w:rPr>
                <w:rFonts w:hint="eastAsia" w:ascii="宋体"/>
                <w:color w:val="000000"/>
                <w:szCs w:val="21"/>
              </w:rPr>
            </w:pPr>
            <w:r>
              <w:rPr>
                <w:rFonts w:hint="eastAsia" w:ascii="宋体"/>
                <w:color w:val="000000"/>
                <w:szCs w:val="21"/>
                <w:lang w:val="en-US" w:eastAsia="zh-CN"/>
              </w:rPr>
              <w:t>2、</w:t>
            </w:r>
            <w:r>
              <w:rPr>
                <w:rFonts w:hint="eastAsia" w:ascii="宋体"/>
                <w:color w:val="000000"/>
                <w:szCs w:val="21"/>
              </w:rPr>
              <w:t>钼/钨棒­——经加工——钼/钨杆——经加工——钼/钨丝——经复合——复合金属</w:t>
            </w:r>
          </w:p>
          <w:p>
            <w:r>
              <w:rPr>
                <w:rFonts w:hint="eastAsia" w:ascii="宋体"/>
                <w:color w:val="000000"/>
                <w:szCs w:val="21"/>
                <w:lang w:val="en-US" w:eastAsia="zh-CN"/>
              </w:rPr>
              <w:t>3、</w:t>
            </w:r>
            <w:r>
              <w:rPr>
                <w:rFonts w:hint="eastAsia" w:ascii="宋体"/>
                <w:color w:val="000000"/>
                <w:szCs w:val="21"/>
              </w:rPr>
              <w:t>钼/钨板­——经加工——钼/钨箔­——经加工——钼/钨带</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2021年09月09日 上午至2021年09月12日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t>☑</w:t>
            </w:r>
            <w:r>
              <w:rPr>
                <w:rFonts w:hint="eastAsia"/>
              </w:rPr>
              <w:t>GB/T 23331-2020/</w:t>
            </w:r>
            <w:r>
              <w:rPr>
                <w:rFonts w:hint="eastAsia"/>
                <w:lang w:val="de-DE"/>
              </w:rPr>
              <w:t xml:space="preserve">ISO50001：2018标准  </w:t>
            </w:r>
          </w:p>
          <w:p>
            <w:pPr>
              <w:rPr>
                <w:rFonts w:hint="default" w:ascii="宋体" w:hAnsi="宋体" w:eastAsia="宋体" w:cs="Times New Roman"/>
                <w:b/>
                <w:sz w:val="21"/>
                <w:szCs w:val="21"/>
                <w:lang w:eastAsia="zh-CN"/>
              </w:rPr>
            </w:pPr>
            <w:r>
              <w:rPr>
                <w:rFonts w:hint="eastAsia"/>
                <w:lang w:val="de-DE" w:eastAsia="zh-CN"/>
              </w:rPr>
              <w:t>☑</w:t>
            </w:r>
            <w:r>
              <w:rPr>
                <w:rFonts w:hint="eastAsia" w:ascii="Times New Roman" w:hAnsi="Times New Roman" w:cs="Times New Roman"/>
                <w:lang w:val="de-DE" w:eastAsia="zh-CN"/>
              </w:rPr>
              <w:t xml:space="preserve">RB/T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"https://max.book118.com/html/2017/1019/137483715.shtm" \t "https://www.so.com/_blank"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117-2014 能源管理体系</w:t>
            </w:r>
            <w:r>
              <w:rPr>
                <w:rFonts w:hint="eastAsia" w:ascii="Times New Roman" w:hAnsi="Times New Roman" w:cs="Times New Roman"/>
                <w:lang w:val="en-US" w:eastAsia="zh-CN"/>
              </w:rPr>
              <w:t xml:space="preserve"> </w:t>
            </w:r>
            <w:r>
              <w:rPr>
                <w:rFonts w:hint="default" w:ascii="Times New Roman" w:hAnsi="Times New Roman" w:cs="Times New Roman"/>
                <w:lang w:eastAsia="zh-CN"/>
              </w:rPr>
              <w:t>有色金属企业认证要求</w:t>
            </w:r>
            <w:r>
              <w:rPr>
                <w:rFonts w:hint="default" w:ascii="Times New Roman" w:hAnsi="Times New Roman" w:cs="Times New Roman"/>
                <w:lang w:eastAsia="zh-CN"/>
              </w:rPr>
              <w:fldChar w:fldCharType="end"/>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监督 第</w:t>
            </w:r>
            <w:r>
              <w:rPr>
                <w:rFonts w:hint="eastAsia"/>
                <w:lang w:eastAsia="zh-CN"/>
              </w:rPr>
              <w:t>（</w:t>
            </w:r>
            <w:r>
              <w:rPr>
                <w:rFonts w:hint="eastAsia"/>
                <w:lang w:val="en-US" w:eastAsia="zh-CN"/>
              </w:rPr>
              <w:t xml:space="preserve"> </w:t>
            </w:r>
            <w:r>
              <w:rPr>
                <w:rFonts w:hint="eastAsia"/>
                <w:lang w:eastAsia="zh-CN"/>
              </w:rPr>
              <w:t>）</w:t>
            </w:r>
            <w:r>
              <w:rPr>
                <w:rFonts w:hint="eastAsia"/>
              </w:rPr>
              <w:t xml:space="preserve">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成都市龙泉驿区成都经济技术开发区南京路198号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rPr>
                <w:sz w:val="20"/>
              </w:rPr>
              <w:t>钨、钼</w:t>
            </w:r>
            <w:r>
              <w:rPr>
                <w:rFonts w:hint="eastAsia"/>
                <w:sz w:val="20"/>
              </w:rPr>
              <w:t>、复合金属</w:t>
            </w:r>
            <w:r>
              <w:rPr>
                <w:sz w:val="20"/>
              </w:rPr>
              <w:t>的设计、生产和售后服务所涉及的能源管理活动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18"/>
                <w:szCs w:val="18"/>
              </w:rPr>
              <w:t>成都虹波实业股份有限公司</w:t>
            </w:r>
            <w:r>
              <w:rPr>
                <w:rFonts w:hint="eastAsia"/>
                <w:sz w:val="18"/>
                <w:szCs w:val="18"/>
                <w:lang w:val="en-US" w:eastAsia="zh-CN"/>
              </w:rPr>
              <w:t>/</w:t>
            </w:r>
            <w:r>
              <w:rPr>
                <w:sz w:val="18"/>
                <w:szCs w:val="18"/>
              </w:rPr>
              <w:t>成都市龙泉驿区成都经济技术开发区南京路198号</w:t>
            </w:r>
          </w:p>
        </w:tc>
        <w:tc>
          <w:tcPr>
            <w:tcW w:w="2267" w:type="dxa"/>
          </w:tcPr>
          <w:p>
            <w:pPr>
              <w:rPr>
                <w:lang w:val="de-DE" w:eastAsia="ja-JP"/>
              </w:rPr>
            </w:pPr>
            <w:r>
              <w:rPr>
                <w:sz w:val="18"/>
                <w:szCs w:val="18"/>
              </w:rPr>
              <w:t>成都市龙泉驿区成都经济技术开发区南京路198号</w:t>
            </w:r>
          </w:p>
        </w:tc>
        <w:tc>
          <w:tcPr>
            <w:tcW w:w="571" w:type="dxa"/>
            <w:vAlign w:val="center"/>
          </w:tcPr>
          <w:p>
            <w:pPr>
              <w:rPr>
                <w:rFonts w:hint="default" w:eastAsia="宋体"/>
                <w:lang w:val="en-US" w:eastAsia="zh-CN"/>
              </w:rPr>
            </w:pPr>
            <w:r>
              <w:rPr>
                <w:rFonts w:hint="eastAsia"/>
                <w:lang w:val="en-US" w:eastAsia="zh-CN"/>
              </w:rPr>
              <w:t>110</w:t>
            </w:r>
          </w:p>
        </w:tc>
        <w:tc>
          <w:tcPr>
            <w:tcW w:w="2803" w:type="dxa"/>
            <w:vAlign w:val="center"/>
          </w:tcPr>
          <w:p>
            <w:pPr>
              <w:rPr>
                <w:sz w:val="18"/>
                <w:szCs w:val="18"/>
                <w:lang w:eastAsia="ja-JP"/>
              </w:rPr>
            </w:pPr>
            <w:r>
              <w:rPr>
                <w:sz w:val="18"/>
                <w:szCs w:val="18"/>
              </w:rPr>
              <w:t>钨、钼产品的设计、生产和售后服务所涉及的能源管理活动</w:t>
            </w:r>
          </w:p>
        </w:tc>
        <w:tc>
          <w:tcPr>
            <w:tcW w:w="669" w:type="dxa"/>
            <w:vAlign w:val="center"/>
          </w:tcPr>
          <w:p>
            <w:pPr>
              <w:rPr>
                <w:rFonts w:hint="default"/>
                <w:sz w:val="18"/>
                <w:szCs w:val="18"/>
                <w:lang w:val="en-US" w:eastAsia="zh-CN"/>
              </w:rPr>
            </w:pPr>
            <w:r>
              <w:rPr>
                <w:rFonts w:hint="eastAsia"/>
                <w:sz w:val="18"/>
                <w:szCs w:val="18"/>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2018-N1EnMS-1072033</w:t>
            </w:r>
          </w:p>
        </w:tc>
        <w:tc>
          <w:tcPr>
            <w:tcW w:w="2179" w:type="dxa"/>
            <w:vAlign w:val="center"/>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sz w:val="20"/>
              </w:rPr>
              <w:t>钨、钼</w:t>
            </w:r>
            <w:r>
              <w:rPr>
                <w:rFonts w:hint="eastAsia"/>
                <w:sz w:val="20"/>
              </w:rPr>
              <w:t>、复合金属</w:t>
            </w:r>
            <w:r>
              <w:rPr>
                <w:sz w:val="20"/>
              </w:rPr>
              <w:t>的设计、生产和售后服务所涉及的能源管理活动</w:t>
            </w:r>
            <w:r>
              <w:rPr>
                <w:rFonts w:hint="eastAsia"/>
                <w:sz w:val="20"/>
                <w:lang w:eastAsia="zh-CN"/>
              </w:rPr>
              <w:t>。</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pPr>
              <w:rPr>
                <w:rFonts w:hint="eastAsia" w:eastAsia="宋体"/>
                <w:lang w:eastAsia="zh-CN"/>
              </w:rPr>
            </w:pPr>
            <w:r>
              <w:rPr>
                <w:sz w:val="20"/>
              </w:rPr>
              <w:t>钨、钼</w:t>
            </w:r>
            <w:r>
              <w:rPr>
                <w:rFonts w:hint="eastAsia"/>
                <w:sz w:val="20"/>
              </w:rPr>
              <w:t>、复合金属</w:t>
            </w:r>
            <w:r>
              <w:rPr>
                <w:sz w:val="20"/>
              </w:rPr>
              <w:t>的设计、生产和售后服务所涉及的能源管理活动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rPr>
              <w:drawing>
                <wp:anchor distT="0" distB="0" distL="114300" distR="114300" simplePos="0" relativeHeight="251661312" behindDoc="0" locked="0" layoutInCell="1" allowOverlap="1">
                  <wp:simplePos x="0" y="0"/>
                  <wp:positionH relativeFrom="column">
                    <wp:posOffset>650240</wp:posOffset>
                  </wp:positionH>
                  <wp:positionV relativeFrom="page">
                    <wp:posOffset>-5199380</wp:posOffset>
                  </wp:positionV>
                  <wp:extent cx="570230" cy="435610"/>
                  <wp:effectExtent l="0" t="0" r="1270" b="8890"/>
                  <wp:wrapSquare wrapText="bothSides"/>
                  <wp:docPr id="6"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r>
        <w:rPr>
          <w:rFonts w:hint="eastAsia"/>
          <w:lang w:eastAsia="zh-CN"/>
        </w:rPr>
        <w:t>☑</w:t>
      </w:r>
      <w:r>
        <w:rPr>
          <w:rFonts w:hint="eastAsia"/>
        </w:rPr>
        <w:t>”；</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□活动、产品和服务 □战略方向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 xml:space="preserve">人力资源□营销和市场  </w:t>
            </w:r>
            <w:r>
              <w:rPr>
                <w:rFonts w:hint="eastAsia"/>
                <w:lang w:eastAsia="zh-CN"/>
              </w:rPr>
              <w:t>☑</w:t>
            </w:r>
            <w:r>
              <w:rPr>
                <w:rFonts w:hint="eastAsia"/>
              </w:rPr>
              <w:t xml:space="preserve">生产 □检验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主要用能设备管理  □能耗测量</w:t>
            </w:r>
          </w:p>
          <w:p>
            <w:pPr>
              <w:shd w:val="clear" w:color="auto" w:fill="EBF1DE" w:themeFill="accent3" w:themeFillTint="32"/>
              <w:spacing w:before="40" w:after="40"/>
            </w:pPr>
            <w:r>
              <w:rPr>
                <w:rFonts w:hint="eastAsia"/>
                <w:lang w:eastAsia="zh-CN"/>
              </w:rPr>
              <w:t>☑</w:t>
            </w: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遵守法规  清洁生产  创新改造  提高能效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 xml:space="preserve">EnMS的主管部门是——□能源管理团队 </w:t>
            </w:r>
            <w:r>
              <w:rPr>
                <w:rFonts w:hint="eastAsia"/>
                <w:lang w:eastAsia="zh-CN"/>
              </w:rPr>
              <w:t>☑</w:t>
            </w:r>
            <w:r>
              <w:rPr>
                <w:rFonts w:hint="eastAsia"/>
              </w:rPr>
              <w:t>质量管理部</w:t>
            </w:r>
          </w:p>
          <w:p>
            <w:pPr>
              <w:shd w:val="clear" w:color="auto" w:fill="EBF1DE" w:themeFill="accent3" w:themeFillTint="32"/>
            </w:pPr>
            <w:r>
              <w:rPr>
                <w:rFonts w:hint="eastAsia"/>
              </w:rPr>
              <w:t>能源管理团队负责人（管理者代表）是——高志强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行业、行情变化</w:t>
                  </w:r>
                </w:p>
              </w:tc>
              <w:tc>
                <w:tcPr>
                  <w:tcW w:w="3965" w:type="dxa"/>
                </w:tcPr>
                <w:p>
                  <w:pPr>
                    <w:shd w:val="clear" w:color="auto" w:fill="EBF1DE" w:themeFill="accent3" w:themeFillTint="32"/>
                  </w:pPr>
                  <w:r>
                    <w:rPr>
                      <w:rFonts w:hint="eastAsia"/>
                    </w:rPr>
                    <w:t>及时了解行业行情变化，报告公司组织集体讨论对策。</w:t>
                  </w:r>
                </w:p>
              </w:tc>
              <w:tc>
                <w:tcPr>
                  <w:tcW w:w="1717" w:type="dxa"/>
                </w:tcPr>
                <w:p>
                  <w:pPr>
                    <w:shd w:val="clear" w:color="auto" w:fill="EBF1DE" w:themeFill="accent3" w:themeFillTint="32"/>
                  </w:pPr>
                  <w:r>
                    <w:rPr>
                      <w:rFonts w:hint="eastAsia"/>
                    </w:rPr>
                    <w:t>措施有效、可行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企业核心竞争力</w:t>
                  </w:r>
                </w:p>
              </w:tc>
              <w:tc>
                <w:tcPr>
                  <w:tcW w:w="3965" w:type="dxa"/>
                </w:tcPr>
                <w:p>
                  <w:pPr>
                    <w:shd w:val="clear" w:color="auto" w:fill="EBF1DE" w:themeFill="accent3" w:themeFillTint="32"/>
                  </w:pPr>
                  <w:r>
                    <w:rPr>
                      <w:rFonts w:hint="eastAsia"/>
                    </w:rPr>
                    <w:t>产品技术不断创新，产品品种适应市场变化，售后服务质量满足顾客要求。</w:t>
                  </w:r>
                </w:p>
              </w:tc>
              <w:tc>
                <w:tcPr>
                  <w:tcW w:w="1717" w:type="dxa"/>
                </w:tcPr>
                <w:p>
                  <w:pPr>
                    <w:shd w:val="clear" w:color="auto" w:fill="EBF1DE" w:themeFill="accent3" w:themeFillTint="32"/>
                  </w:pPr>
                  <w:r>
                    <w:rPr>
                      <w:rFonts w:hint="eastAsia"/>
                    </w:rPr>
                    <w:t>措施有效、可行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人员能力不足</w:t>
                  </w:r>
                </w:p>
              </w:tc>
              <w:tc>
                <w:tcPr>
                  <w:tcW w:w="3965" w:type="dxa"/>
                </w:tcPr>
                <w:p>
                  <w:pPr>
                    <w:shd w:val="clear" w:color="auto" w:fill="EBF1DE" w:themeFill="accent3" w:themeFillTint="32"/>
                  </w:pPr>
                  <w:r>
                    <w:rPr>
                      <w:rFonts w:hint="eastAsia"/>
                    </w:rPr>
                    <w:t>加强培训，定期举行技能考核，促进能力提升。</w:t>
                  </w:r>
                </w:p>
              </w:tc>
              <w:tc>
                <w:tcPr>
                  <w:tcW w:w="1717" w:type="dxa"/>
                </w:tcPr>
                <w:p>
                  <w:pPr>
                    <w:shd w:val="clear" w:color="auto" w:fill="EBF1DE" w:themeFill="accent3" w:themeFillTint="32"/>
                  </w:pPr>
                  <w:r>
                    <w:rPr>
                      <w:rFonts w:hint="eastAsia"/>
                    </w:rPr>
                    <w:t>措施有效、可行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企业盈利能力风险</w:t>
                  </w:r>
                </w:p>
              </w:tc>
              <w:tc>
                <w:tcPr>
                  <w:tcW w:w="3965" w:type="dxa"/>
                </w:tcPr>
                <w:p>
                  <w:pPr>
                    <w:shd w:val="clear" w:color="auto" w:fill="EBF1DE" w:themeFill="accent3" w:themeFillTint="32"/>
                  </w:pPr>
                  <w:r>
                    <w:rPr>
                      <w:rFonts w:hint="eastAsia"/>
                    </w:rPr>
                    <w:t>控制成本、减低费用、加强企业内部管理，提高劳动效率；降低库存，提高资产利用率；及时清理拖欠货款。</w:t>
                  </w:r>
                </w:p>
              </w:tc>
              <w:tc>
                <w:tcPr>
                  <w:tcW w:w="1717" w:type="dxa"/>
                </w:tcPr>
                <w:p>
                  <w:pPr>
                    <w:shd w:val="clear" w:color="auto" w:fill="EBF1DE" w:themeFill="accent3" w:themeFillTint="32"/>
                  </w:pPr>
                  <w:r>
                    <w:rPr>
                      <w:rFonts w:hint="eastAsia"/>
                    </w:rPr>
                    <w:t>措施有效、可行</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w:t>
            </w:r>
            <w:r>
              <w:rPr>
                <w:rFonts w:hint="eastAsia"/>
                <w:lang w:eastAsia="zh-CN"/>
              </w:rPr>
              <w:t>☑</w:t>
            </w:r>
            <w:r>
              <w:rPr>
                <w:rFonts w:hint="eastAsia"/>
              </w:rPr>
              <w:t>天然气 □燃料油  □燃料气</w:t>
            </w:r>
            <w:r>
              <w:rPr>
                <w:rFonts w:hint="eastAsia"/>
                <w:lang w:val="en-US" w:eastAsia="zh-CN"/>
              </w:rPr>
              <w:t xml:space="preserve"> </w:t>
            </w:r>
            <w:r>
              <w:rPr>
                <w:rFonts w:hint="eastAsia"/>
                <w:lang w:eastAsia="zh-CN"/>
              </w:rPr>
              <w:t>☑</w:t>
            </w:r>
            <w:r>
              <w:rPr>
                <w:rFonts w:hint="eastAsia"/>
              </w:rPr>
              <w:t xml:space="preserve">电力  □氮气 □风  </w:t>
            </w:r>
            <w:r>
              <w:rPr>
                <w:rFonts w:hint="eastAsia"/>
                <w:lang w:eastAsia="zh-CN"/>
              </w:rPr>
              <w:t>☑</w:t>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eastAsiaTheme="majorEastAsia"/>
                <w:lang w:eastAsia="zh-CN"/>
              </w:rPr>
              <w:t>☑</w:t>
            </w:r>
            <w:r>
              <w:rPr>
                <w:rFonts w:hint="eastAsia"/>
              </w:rPr>
              <w:t xml:space="preserve">单位产品综合能耗 </w:t>
            </w:r>
            <w:r>
              <w:rPr>
                <w:rFonts w:hint="eastAsia"/>
                <w:lang w:eastAsia="zh-CN"/>
              </w:rPr>
              <w:t>☑</w:t>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ascii="宋体" w:hAnsi="宋体" w:eastAsia="宋体" w:cs="宋体"/>
                      <w:lang w:val="en-US" w:eastAsia="zh-CN"/>
                    </w:rPr>
                    <w:t>≦</w:t>
                  </w:r>
                  <w:r>
                    <w:rPr>
                      <w:rFonts w:hint="eastAsia"/>
                      <w:lang w:val="en-US" w:eastAsia="zh-CN"/>
                    </w:rPr>
                    <w:t>1.20kgce/kg</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加强能耗控制，节约能源</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质量管理部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1.31kgce/kg</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ascii="Wingdings" w:hAnsi="Wingdings"/>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ascii="Wingdings" w:hAnsi="Wingdings"/>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154771.88  </w:t>
            </w:r>
            <w:r>
              <w:rPr>
                <w:rFonts w:hint="eastAsia"/>
              </w:rPr>
              <w:t>平方米；生产车间</w:t>
            </w:r>
            <w:r>
              <w:rPr>
                <w:rFonts w:hint="eastAsia"/>
                <w:u w:val="single"/>
              </w:rPr>
              <w:t xml:space="preserve">  6 </w:t>
            </w:r>
            <w:r>
              <w:rPr>
                <w:rFonts w:hint="eastAsia"/>
              </w:rPr>
              <w:t>个；库房</w:t>
            </w:r>
            <w:r>
              <w:rPr>
                <w:rFonts w:hint="eastAsia"/>
                <w:u w:val="single"/>
              </w:rPr>
              <w:t xml:space="preserve">  5  </w:t>
            </w:r>
            <w:r>
              <w:rPr>
                <w:rFonts w:hint="eastAsia"/>
              </w:rPr>
              <w:t>个；实验室</w:t>
            </w:r>
            <w:r>
              <w:rPr>
                <w:rFonts w:hint="eastAsia"/>
                <w:u w:val="single"/>
              </w:rPr>
              <w:t xml:space="preserve"> 6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大转炉、还原炉、等静压、中频炉、拉丝机（列举2~4种）</w:t>
            </w:r>
          </w:p>
          <w:p>
            <w:pPr>
              <w:shd w:val="clear" w:color="auto" w:fill="EBF1DE" w:themeFill="accent3" w:themeFillTint="32"/>
              <w:rPr>
                <w:u w:val="single"/>
              </w:rPr>
            </w:pPr>
            <w:r>
              <w:rPr>
                <w:rFonts w:hint="eastAsia"/>
              </w:rPr>
              <w:t>主要耗能设备有：</w:t>
            </w:r>
            <w:r>
              <w:rPr>
                <w:rFonts w:hint="eastAsia"/>
                <w:u w:val="single"/>
              </w:rPr>
              <w:t xml:space="preserve">   大转炉、还原炉、中频炉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hint="eastAsia" w:ascii="Wingdings" w:hAnsi="Wingdings"/>
                <w:lang w:eastAsia="zh-CN"/>
              </w:rPr>
              <w:t>☑</w:t>
            </w:r>
            <w:r>
              <w:rPr>
                <w:rFonts w:hint="eastAsia"/>
              </w:rPr>
              <w:t xml:space="preserve">食堂  </w:t>
            </w:r>
            <w:r>
              <w:rPr>
                <w:rFonts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三相四线电子式多费率电能表、气体涡轮流量计、冷水水表等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ascii="Wingdings" w:hAnsi="Wingdings"/>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t>☑</w:t>
            </w:r>
            <w:r>
              <w:rPr>
                <w:rFonts w:hint="eastAsia"/>
              </w:rPr>
              <w:t xml:space="preserve">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ascii="Wingdings" w:hAnsi="Wingdings"/>
                <w:lang w:eastAsia="zh-CN"/>
              </w:rPr>
              <w:t>☑</w:t>
            </w:r>
            <w:r>
              <w:rPr>
                <w:rFonts w:hint="eastAsia"/>
                <w:color w:val="auto"/>
              </w:rPr>
              <w:t xml:space="preserve">操作规程 </w:t>
            </w:r>
            <w:r>
              <w:rPr>
                <w:rFonts w:hint="eastAsia" w:ascii="Wingdings" w:hAnsi="Wingdings"/>
                <w:lang w:eastAsia="zh-CN"/>
              </w:rPr>
              <w:t>☑</w:t>
            </w:r>
            <w:r>
              <w:rPr>
                <w:rFonts w:hint="eastAsia"/>
                <w:color w:val="auto"/>
              </w:rPr>
              <w:t xml:space="preserve">作业文件  </w:t>
            </w:r>
            <w:r>
              <w:rPr>
                <w:rFonts w:hint="eastAsia" w:ascii="Wingdings" w:hAnsi="Wingdings"/>
                <w:lang w:eastAsia="zh-CN"/>
              </w:rPr>
              <w:t>☑</w:t>
            </w:r>
            <w:r>
              <w:rPr>
                <w:rFonts w:hint="eastAsia"/>
                <w:color w:val="auto"/>
              </w:rPr>
              <w:t xml:space="preserve">工艺卡片   </w:t>
            </w:r>
            <w:r>
              <w:rPr>
                <w:rFonts w:hint="eastAsia" w:ascii="Wingdings" w:hAnsi="Wingdings"/>
                <w:lang w:eastAsia="zh-CN"/>
              </w:rPr>
              <w:t>☑</w:t>
            </w:r>
            <w:r>
              <w:rPr>
                <w:rFonts w:hint="eastAsia"/>
                <w:color w:val="auto"/>
              </w:rPr>
              <w:t xml:space="preserve">接收准则  </w:t>
            </w:r>
            <w:r>
              <w:rPr>
                <w:rFonts w:hint="eastAsia" w:ascii="Wingdings" w:hAnsi="Wingdings"/>
                <w:lang w:eastAsia="zh-CN"/>
              </w:rPr>
              <w:t>☑</w:t>
            </w:r>
            <w:r>
              <w:rPr>
                <w:rFonts w:hint="eastAsia"/>
                <w:color w:val="auto"/>
              </w:rPr>
              <w:t xml:space="preserve">工艺流程图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**合金的设计开发（因保密要求不能提供具体材料名称）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能源采购 </w:t>
            </w:r>
            <w:r>
              <w:rPr>
                <w:rFonts w:hint="eastAsia" w:ascii="Wingdings" w:hAnsi="Wingdings"/>
                <w:lang w:eastAsia="zh-CN"/>
              </w:rPr>
              <w:t>☑</w:t>
            </w:r>
            <w:r>
              <w:rPr>
                <w:rFonts w:hint="eastAsia"/>
              </w:rPr>
              <w:t xml:space="preserve">主要用能设备采购  </w:t>
            </w:r>
            <w:r>
              <w:rPr>
                <w:rFonts w:hint="eastAsia" w:ascii="Wingdings" w:hAnsi="Wingdings"/>
                <w:lang w:eastAsia="zh-CN"/>
              </w:rPr>
              <w:t>☑</w:t>
            </w:r>
            <w:r>
              <w:rPr>
                <w:rFonts w:hint="eastAsia"/>
              </w:rPr>
              <w:t xml:space="preserve">淘汰落后设备更新 </w:t>
            </w:r>
            <w:r>
              <w:rPr>
                <w:rFonts w:hint="eastAsia" w:ascii="Wingdings" w:hAnsi="Wingdings"/>
                <w:lang w:eastAsia="zh-CN"/>
              </w:rPr>
              <w:t>☑</w:t>
            </w:r>
            <w:r>
              <w:rPr>
                <w:rFonts w:hint="eastAsia"/>
              </w:rPr>
              <w:t xml:space="preserve">能源计量器具采购   </w:t>
            </w:r>
            <w:r>
              <w:rPr>
                <w:rFonts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现场检查    </w:t>
            </w:r>
            <w:r>
              <w:rPr>
                <w:rFonts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充分燃烧、杜绝跑冒滴漏。</w:t>
                  </w:r>
                </w:p>
              </w:tc>
              <w:tc>
                <w:tcPr>
                  <w:tcW w:w="3265" w:type="dxa"/>
                </w:tcPr>
                <w:p>
                  <w:pPr>
                    <w:shd w:val="clear" w:color="auto" w:fill="EBF1DE" w:themeFill="accent3" w:themeFillTint="32"/>
                    <w:jc w:val="left"/>
                    <w:rPr>
                      <w:rFonts w:hint="eastAsia" w:eastAsia="宋体"/>
                      <w:lang w:val="en-US" w:eastAsia="zh-CN"/>
                    </w:rPr>
                  </w:pPr>
                  <w:r>
                    <w:rPr>
                      <w:rFonts w:hint="eastAsia"/>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加强用电管理，利用电的谷峰进行生产，保证能耗设备的正常运转。</w:t>
                  </w:r>
                </w:p>
              </w:tc>
              <w:tc>
                <w:tcPr>
                  <w:tcW w:w="3265" w:type="dxa"/>
                </w:tcPr>
                <w:p>
                  <w:pPr>
                    <w:shd w:val="clear" w:color="auto" w:fill="EBF1DE" w:themeFill="accent3" w:themeFillTint="32"/>
                    <w:jc w:val="left"/>
                  </w:pPr>
                  <w:r>
                    <w:rPr>
                      <w:rFonts w:hint="eastAsia"/>
                    </w:rPr>
                    <w:t>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ascii="Wingdings" w:hAnsi="Wingdings"/>
              </w:rPr>
              <w:t>□</w:t>
            </w:r>
            <w:r>
              <w:rPr>
                <w:rFonts w:hint="eastAsia"/>
              </w:rPr>
              <w:t>定期（每年） ：</w:t>
            </w:r>
            <w:r>
              <w:rPr>
                <w:rFonts w:hint="eastAsia"/>
                <w:u w:val="single"/>
              </w:rPr>
              <w:t xml:space="preserve">2021  </w:t>
            </w:r>
            <w:r>
              <w:rPr>
                <w:rFonts w:hint="eastAsia"/>
              </w:rPr>
              <w:t>年</w:t>
            </w:r>
            <w:r>
              <w:rPr>
                <w:rFonts w:hint="eastAsia"/>
                <w:u w:val="single"/>
              </w:rPr>
              <w:t xml:space="preserve"> 2  </w:t>
            </w:r>
            <w:r>
              <w:rPr>
                <w:rFonts w:hint="eastAsia"/>
              </w:rPr>
              <w:t>月</w:t>
            </w:r>
            <w:r>
              <w:rPr>
                <w:rFonts w:hint="eastAsia"/>
                <w:u w:val="single"/>
              </w:rPr>
              <w:t xml:space="preserve"> 10  </w:t>
            </w:r>
            <w:r>
              <w:rPr>
                <w:rFonts w:hint="eastAsia"/>
              </w:rPr>
              <w:t>日</w:t>
            </w:r>
          </w:p>
          <w:p>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企业自测 </w:t>
            </w:r>
            <w:r>
              <w:rPr>
                <w:rFonts w:ascii="Wingdings" w:hAnsi="Wingdings"/>
              </w:rPr>
              <w:t>□</w:t>
            </w:r>
            <w:r>
              <w:rPr>
                <w:rFonts w:hint="eastAsia"/>
              </w:rPr>
              <w:t xml:space="preserve">第三方监测  </w:t>
            </w:r>
            <w:r>
              <w:rPr>
                <w:rFonts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w:t>
            </w:r>
            <w:r>
              <w:rPr>
                <w:rFonts w:hint="eastAsia"/>
              </w:rPr>
              <w:t>月</w:t>
            </w:r>
            <w:r>
              <w:rPr>
                <w:rFonts w:hint="eastAsia"/>
                <w:u w:val="single"/>
              </w:rPr>
              <w:t xml:space="preserve"> 20 </w:t>
            </w:r>
            <w:r>
              <w:rPr>
                <w:rFonts w:hint="eastAsia"/>
              </w:rPr>
              <w:t>日实施了能源管理体系内部审核，对能源管理体系的符合性和有效性进行了审核。内审发现的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2021</w:t>
            </w:r>
            <w:r>
              <w:rPr>
                <w:rFonts w:hint="eastAsia"/>
              </w:rPr>
              <w:t>年</w:t>
            </w:r>
            <w:r>
              <w:rPr>
                <w:rFonts w:hint="eastAsia"/>
                <w:u w:val="single"/>
              </w:rPr>
              <w:t xml:space="preserve"> 7</w:t>
            </w:r>
            <w:r>
              <w:rPr>
                <w:rFonts w:hint="eastAsia"/>
              </w:rPr>
              <w:t>月</w:t>
            </w:r>
            <w:r>
              <w:rPr>
                <w:rFonts w:hint="eastAsia"/>
                <w:u w:val="single"/>
              </w:rPr>
              <w:t xml:space="preserve"> 30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eastAsia="zh-CN"/>
              </w:rPr>
              <w:t>.</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rPr>
              <w:t>10</w:t>
            </w:r>
            <w:r>
              <w:rPr>
                <w:rFonts w:hint="eastAsia"/>
                <w:lang w:eastAsia="zh-CN"/>
              </w:rPr>
              <w:t>.</w:t>
            </w: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147320</wp:posOffset>
              </wp:positionV>
              <wp:extent cx="1322070" cy="256540"/>
              <wp:effectExtent l="4445" t="4445"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32207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99.35pt;margin-top:11.6pt;height:20.2pt;width:104.1pt;z-index:251659264;mso-width-relative:page;mso-height-relative:page;" fillcolor="#FFFFFF" filled="t" stroked="f" coordsize="21600,21600" o:gfxdata="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32b/1wAAAAoBAAAP&#10;AAAAAAAAAAEAIAAAACIAAABkcnMvZG93bnJldi54bWxQSwECFAAUAAAACACHTuJAgL2s3BkCAAA9&#10;BAAADgAAAAAAAAABACAAAAAmAQAAZHJzL2Uyb0RvYy54bWxQSwUGAAAAAAYABgBZAQAAsQ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41"/>
    <w:rsid w:val="00000C2D"/>
    <w:rsid w:val="00056245"/>
    <w:rsid w:val="000F4741"/>
    <w:rsid w:val="003E5E46"/>
    <w:rsid w:val="00517560"/>
    <w:rsid w:val="005175E2"/>
    <w:rsid w:val="005B7856"/>
    <w:rsid w:val="00760880"/>
    <w:rsid w:val="00894080"/>
    <w:rsid w:val="00AE5BFC"/>
    <w:rsid w:val="00B01358"/>
    <w:rsid w:val="00DD4039"/>
    <w:rsid w:val="00E120C6"/>
    <w:rsid w:val="0B626A99"/>
    <w:rsid w:val="1AE97067"/>
    <w:rsid w:val="275D266F"/>
    <w:rsid w:val="38503EC6"/>
    <w:rsid w:val="7B503675"/>
    <w:rsid w:val="7F292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1681</Words>
  <Characters>9584</Characters>
  <Lines>79</Lines>
  <Paragraphs>22</Paragraphs>
  <TotalTime>0</TotalTime>
  <ScaleCrop>false</ScaleCrop>
  <LinksUpToDate>false</LinksUpToDate>
  <CharactersWithSpaces>11243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2021-09-09T09:10:00Z</dcterms:created>
  <dc:creator>微软用户</dc:creator>
  <cp:lastModifiedBy>Lenovo</cp:lastModifiedBy>
  <cp:lastPrinted>2019-05-13T03:19:00Z</cp:lastPrinted>
  <dcterms:modified xsi:type="dcterms:W3CDTF">2021-09-14T14:33:14Z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