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376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60" w:type="dxa"/>
            <w:vMerge w:val="restart"/>
            <w:vAlign w:val="center"/>
          </w:tcPr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过程与活动、</w:t>
            </w: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涉及</w:t>
            </w:r>
          </w:p>
          <w:p>
            <w:pPr>
              <w:jc w:val="center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条款</w:t>
            </w:r>
          </w:p>
        </w:tc>
        <w:tc>
          <w:tcPr>
            <w:tcW w:w="10376" w:type="dxa"/>
            <w:vAlign w:val="center"/>
          </w:tcPr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受审核部门：钼份经营部    主管领导：许发挥    陪同人员：孙红云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</w:p>
        </w:tc>
        <w:tc>
          <w:tcPr>
            <w:tcW w:w="10376" w:type="dxa"/>
            <w:vAlign w:val="center"/>
          </w:tcPr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审核员：王宁敏    </w:t>
            </w:r>
            <w:bookmarkStart w:id="0" w:name="_GoBack"/>
            <w:bookmarkEnd w:id="0"/>
            <w:r>
              <w:rPr>
                <w:rFonts w:hint="eastAsia"/>
                <w:szCs w:val="22"/>
                <w:lang w:val="en-US" w:eastAsia="zh-CN"/>
              </w:rPr>
              <w:t xml:space="preserve">   审核时间：2021-9-12  8:00-15:00其中12：00-12：30为午餐</w:t>
            </w:r>
          </w:p>
        </w:tc>
        <w:tc>
          <w:tcPr>
            <w:tcW w:w="121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</w:p>
        </w:tc>
        <w:tc>
          <w:tcPr>
            <w:tcW w:w="10376" w:type="dxa"/>
            <w:vAlign w:val="center"/>
          </w:tcPr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审核条款：.3 组织的岗位、职责和权限、6.2 目标、能源指及其实现的策划、8.1 运行的策划和控制、8.3采购、10.1不符合与纠正措施。</w:t>
            </w:r>
          </w:p>
        </w:tc>
        <w:tc>
          <w:tcPr>
            <w:tcW w:w="121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1.组织的岗位、职责和权限，</w:t>
            </w:r>
          </w:p>
          <w:p>
            <w:pPr>
              <w:pStyle w:val="2"/>
              <w:ind w:left="0" w:leftChars="0" w:firstLine="0" w:firstLineChars="0"/>
            </w:pPr>
            <w:r>
              <w:rPr>
                <w:rFonts w:hint="eastAsia"/>
                <w:lang w:val="en-US" w:eastAsia="zh-CN"/>
              </w:rPr>
              <w:t>2.目标、能源指及其实现的策划</w:t>
            </w:r>
          </w:p>
        </w:tc>
        <w:tc>
          <w:tcPr>
            <w:tcW w:w="960" w:type="dxa"/>
          </w:tcPr>
          <w:p>
            <w:r>
              <w:rPr>
                <w:rFonts w:hint="eastAsia" w:ascii="宋体" w:hAnsi="宋体" w:eastAsia="宋体" w:cs="Times New Roman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6.2</w:t>
            </w:r>
          </w:p>
        </w:tc>
        <w:tc>
          <w:tcPr>
            <w:tcW w:w="10376" w:type="dxa"/>
          </w:tcPr>
          <w:p>
            <w:pP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 xml:space="preserve"> 1、钼份经营部：主管领导：汤克满，</w:t>
            </w:r>
            <w:r>
              <w:rPr>
                <w:rFonts w:hint="eastAsia" w:cs="Times New Roman"/>
                <w:szCs w:val="22"/>
                <w:lang w:val="en-US" w:eastAsia="zh-CN"/>
              </w:rPr>
              <w:t>提供</w:t>
            </w:r>
            <w:r>
              <w:rPr>
                <w:rFonts w:hint="eastAsia"/>
                <w:lang w:val="en-US" w:eastAsia="zh-CN"/>
              </w:rPr>
              <w:t>《岗位及部门职责》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 xml:space="preserve">，共 </w:t>
            </w:r>
            <w:r>
              <w:rPr>
                <w:rFonts w:hint="eastAsia" w:cs="Times New Roman"/>
                <w:szCs w:val="2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 xml:space="preserve"> 人。</w:t>
            </w:r>
          </w:p>
          <w:p>
            <w:pPr>
              <w:ind w:firstLine="420" w:firstLineChars="20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部门能源职责：为实现公司年度经营目标，在钼粉事业总监的领导下，全面负责公司钼粉等钼初级品的原料采购、销售、市场开发、客户管理、货款回收等工作，确保公司战略目标的实现；供应商管理。完成上级领导交办的其他任务。涵盖：职责概述-产品销售计划制定、销售事务管理、客户关系管理、市场开发管理、产品价格管理、部门建设、采购管理。</w:t>
            </w:r>
          </w:p>
          <w:p>
            <w:pPr>
              <w:ind w:firstLine="420" w:firstLineChars="20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2、提供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钼份经营部</w:t>
            </w:r>
            <w:r>
              <w:rPr>
                <w:rFonts w:hint="eastAsia"/>
                <w:szCs w:val="22"/>
                <w:lang w:val="en-US" w:eastAsia="zh-CN"/>
              </w:rPr>
              <w:t>能源管理目标是：</w:t>
            </w:r>
          </w:p>
          <w:p>
            <w:pPr>
              <w:ind w:firstLine="420" w:firstLineChars="200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 xml:space="preserve"> 保证公司目标指标的完成，</w:t>
            </w:r>
          </w:p>
          <w:p>
            <w:pPr>
              <w:ind w:firstLine="843" w:firstLineChars="400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采购工作质量——采购合格率大于95%；评价方法：ERP采购订单明细</w:t>
            </w:r>
          </w:p>
          <w:p>
            <w:pPr>
              <w:pStyle w:val="2"/>
              <w:ind w:left="840" w:leftChars="40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查阅相关记录，全部完成。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查阅相关记录，全部完成。</w:t>
            </w:r>
          </w:p>
        </w:tc>
        <w:tc>
          <w:tcPr>
            <w:tcW w:w="121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</w:trPr>
        <w:tc>
          <w:tcPr>
            <w:tcW w:w="216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运行的策划和控制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采购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8.1</w:t>
            </w:r>
            <w:r>
              <w:rPr>
                <w:rFonts w:hint="eastAsia"/>
                <w:lang w:val="en-US" w:eastAsia="zh-CN"/>
              </w:rPr>
              <w:t>/8.3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0376" w:type="dxa"/>
          </w:tcPr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1、提供</w:t>
            </w:r>
            <w:r>
              <w:rPr>
                <w:rFonts w:hint="eastAsia"/>
              </w:rPr>
              <w:t>文件化信息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《能源管理手册》、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程序文件清单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主要有《En/HB-CX-14监测和计量装置的购买、使用、维护和处置程序》《En/HB-CX-15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能源服务、产品、设备和能源采购控制程序》《En/HB-CX-08能源监视和测量控制程序》《En/HB-CX-11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不符合、纠正、改进措施程序》《采购管理控制程序》，物资分类采购管理制度、主材采购管理制度、辅材采购制度、外包装材料采购管理制度、五金备件采购管理制度、油品和试剂采购管理制度、办公劳保用品采购管理制度、专用性物资采购管理制度、贸易类物资采购管理制度、采购作业考评指引、服务类采购管理制度、物资采购招标管理制度、供应商分类管理制度等，符合管理实际，有发布、实施。有编审批。确保了其适宜性和充分性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2、关于能源采购：提供组织的《能源管理手册》其中：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2-1“8.3 采购”，公司制定并实施《能源采购控制程序》《供应商分类管理制度》，建立并实施在计划或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预期运行寿命内评估能源性能的标准，在采购能源时使用预期对组织能源性能有重大影响的产品、设备和服务。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在采购使用对主要能源使用有或可能有影响的产品、设备和服务时，组织应通知供应商，能源性能是采购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的评估标准之一。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2-2合格供应商开发选择：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选择原则：在通过开发选择程序认定的供应商中，按照“同等价格择其优，同等质量择其廉，同价同质</w:t>
            </w:r>
          </w:p>
          <w:p>
            <w:pPr>
              <w:pStyle w:val="2"/>
              <w:numPr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择其快”原则选择优质的合格供应商。</w:t>
            </w:r>
          </w:p>
          <w:p>
            <w:pPr>
              <w:pStyle w:val="2"/>
              <w:numPr>
                <w:ilvl w:val="0"/>
                <w:numId w:val="2"/>
              </w:numPr>
              <w:ind w:left="840" w:leftChars="200" w:hanging="420" w:hanging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适用范围：除了指首次采购的供应商外，还包括向原有供应商采购新物资的开发选择。（图例说明：★</w:t>
            </w:r>
          </w:p>
          <w:p>
            <w:pPr>
              <w:pStyle w:val="2"/>
              <w:numPr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必须  ☆视情况）</w:t>
            </w:r>
          </w:p>
          <w:tbl>
            <w:tblPr>
              <w:tblStyle w:val="7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20"/>
              <w:gridCol w:w="905"/>
              <w:gridCol w:w="991"/>
              <w:gridCol w:w="944"/>
              <w:gridCol w:w="13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8" w:hRule="atLeast"/>
                <w:jc w:val="center"/>
              </w:trPr>
              <w:tc>
                <w:tcPr>
                  <w:tcW w:w="3420" w:type="dxa"/>
                  <w:vMerge w:val="restart"/>
                  <w:vAlign w:val="top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jc w:val="center"/>
                    <w:textAlignment w:val="auto"/>
                    <w:rPr>
                      <w:b w:val="0"/>
                      <w:bCs w:val="0"/>
                      <w:kern w:val="0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b w:val="0"/>
                      <w:bCs w:val="0"/>
                      <w:kern w:val="0"/>
                      <w:sz w:val="18"/>
                      <w:szCs w:val="18"/>
                      <w:lang w:val="en-US"/>
                    </w:rPr>
                    <w:t>供应商类别</w:t>
                  </w:r>
                </w:p>
              </w:tc>
              <w:tc>
                <w:tcPr>
                  <w:tcW w:w="4199" w:type="dxa"/>
                  <w:gridSpan w:val="4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jc w:val="center"/>
                    <w:textAlignment w:val="auto"/>
                    <w:rPr>
                      <w:b w:val="0"/>
                      <w:bCs w:val="0"/>
                      <w:kern w:val="0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b w:val="0"/>
                      <w:bCs w:val="0"/>
                      <w:kern w:val="0"/>
                      <w:sz w:val="18"/>
                      <w:szCs w:val="18"/>
                      <w:lang w:val="en-US"/>
                    </w:rPr>
                    <w:t>开发选择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0" w:hRule="atLeast"/>
                <w:jc w:val="center"/>
              </w:trPr>
              <w:tc>
                <w:tcPr>
                  <w:tcW w:w="3420" w:type="dxa"/>
                  <w:vMerge w:val="continue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textAlignment w:val="auto"/>
                    <w:rPr>
                      <w:b w:val="0"/>
                      <w:bCs w:val="0"/>
                      <w:kern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5" w:type="dxa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jc w:val="center"/>
                    <w:textAlignment w:val="auto"/>
                    <w:rPr>
                      <w:b w:val="0"/>
                      <w:bCs w:val="0"/>
                      <w:kern w:val="0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b w:val="0"/>
                      <w:bCs w:val="0"/>
                      <w:kern w:val="0"/>
                      <w:sz w:val="18"/>
                      <w:szCs w:val="18"/>
                      <w:lang w:val="en-US"/>
                    </w:rPr>
                    <w:t>初步评审</w:t>
                  </w:r>
                </w:p>
              </w:tc>
              <w:tc>
                <w:tcPr>
                  <w:tcW w:w="991" w:type="dxa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jc w:val="center"/>
                    <w:textAlignment w:val="auto"/>
                    <w:rPr>
                      <w:b w:val="0"/>
                      <w:bCs w:val="0"/>
                      <w:kern w:val="0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b w:val="0"/>
                      <w:bCs w:val="0"/>
                      <w:kern w:val="0"/>
                      <w:sz w:val="18"/>
                      <w:szCs w:val="18"/>
                      <w:lang w:val="en-US"/>
                    </w:rPr>
                    <w:t>实地审查</w:t>
                  </w:r>
                </w:p>
              </w:tc>
              <w:tc>
                <w:tcPr>
                  <w:tcW w:w="944" w:type="dxa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jc w:val="center"/>
                    <w:textAlignment w:val="auto"/>
                    <w:rPr>
                      <w:b w:val="0"/>
                      <w:bCs w:val="0"/>
                      <w:kern w:val="0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b w:val="0"/>
                      <w:bCs w:val="0"/>
                      <w:kern w:val="0"/>
                      <w:sz w:val="18"/>
                      <w:szCs w:val="18"/>
                      <w:lang w:val="en-US"/>
                    </w:rPr>
                    <w:t>样品试用</w:t>
                  </w:r>
                </w:p>
              </w:tc>
              <w:tc>
                <w:tcPr>
                  <w:tcW w:w="1359" w:type="dxa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jc w:val="center"/>
                    <w:textAlignment w:val="auto"/>
                    <w:rPr>
                      <w:b w:val="0"/>
                      <w:bCs w:val="0"/>
                      <w:kern w:val="0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b w:val="0"/>
                      <w:bCs w:val="0"/>
                      <w:kern w:val="0"/>
                      <w:sz w:val="18"/>
                      <w:szCs w:val="18"/>
                      <w:lang w:val="en-US"/>
                    </w:rPr>
                    <w:t>合格供应商评价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  <w:jc w:val="center"/>
              </w:trPr>
              <w:tc>
                <w:tcPr>
                  <w:tcW w:w="3420" w:type="dxa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textAlignment w:val="auto"/>
                    <w:rPr>
                      <w:b w:val="0"/>
                      <w:bCs w:val="0"/>
                      <w:kern w:val="0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b w:val="0"/>
                      <w:bCs w:val="0"/>
                      <w:kern w:val="0"/>
                      <w:sz w:val="18"/>
                      <w:szCs w:val="18"/>
                      <w:lang w:val="en-US"/>
                    </w:rPr>
                    <w:t>Ⅰ类（</w:t>
                  </w:r>
                  <w:r>
                    <w:rPr>
                      <w:rFonts w:hint="eastAsia" w:cs="Arial"/>
                      <w:b w:val="0"/>
                      <w:spacing w:val="0"/>
                      <w:sz w:val="18"/>
                      <w:szCs w:val="18"/>
                      <w:lang w:val="en-US"/>
                    </w:rPr>
                    <w:t>主材、贸易、主材委外加工类</w:t>
                  </w:r>
                  <w:r>
                    <w:rPr>
                      <w:rFonts w:hint="eastAsia"/>
                      <w:b w:val="0"/>
                      <w:bCs w:val="0"/>
                      <w:kern w:val="0"/>
                      <w:sz w:val="18"/>
                      <w:szCs w:val="18"/>
                      <w:lang w:val="en-US"/>
                    </w:rPr>
                    <w:t>）</w:t>
                  </w:r>
                </w:p>
              </w:tc>
              <w:tc>
                <w:tcPr>
                  <w:tcW w:w="90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ind w:left="-105" w:leftChars="-50" w:right="-105" w:rightChars="-50"/>
                    <w:jc w:val="center"/>
                    <w:textAlignment w:val="auto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18"/>
                      <w:szCs w:val="18"/>
                    </w:rPr>
                    <w:t>★</w:t>
                  </w: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ind w:left="-105" w:leftChars="-50" w:right="-105" w:rightChars="-50"/>
                    <w:jc w:val="center"/>
                    <w:textAlignment w:val="auto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18"/>
                      <w:szCs w:val="18"/>
                    </w:rPr>
                    <w:t>★</w:t>
                  </w:r>
                </w:p>
              </w:tc>
              <w:tc>
                <w:tcPr>
                  <w:tcW w:w="94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ind w:left="-105" w:leftChars="-50" w:right="-105" w:rightChars="-50"/>
                    <w:jc w:val="center"/>
                    <w:textAlignment w:val="auto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18"/>
                      <w:szCs w:val="18"/>
                    </w:rPr>
                    <w:t>★</w:t>
                  </w:r>
                </w:p>
              </w:tc>
              <w:tc>
                <w:tcPr>
                  <w:tcW w:w="1359" w:type="dxa"/>
                  <w:vAlign w:val="center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jc w:val="center"/>
                    <w:textAlignment w:val="auto"/>
                    <w:rPr>
                      <w:rFonts w:cs="Arial"/>
                      <w:b w:val="0"/>
                      <w:bCs w:val="0"/>
                      <w:spacing w:val="0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 w:cs="Arial"/>
                      <w:b w:val="0"/>
                      <w:bCs w:val="0"/>
                      <w:spacing w:val="0"/>
                      <w:sz w:val="18"/>
                      <w:szCs w:val="18"/>
                      <w:lang w:val="en-US"/>
                    </w:rPr>
                    <w:t>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  <w:jc w:val="center"/>
              </w:trPr>
              <w:tc>
                <w:tcPr>
                  <w:tcW w:w="3420" w:type="dxa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textAlignment w:val="auto"/>
                    <w:rPr>
                      <w:b w:val="0"/>
                      <w:bCs w:val="0"/>
                      <w:kern w:val="0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b w:val="0"/>
                      <w:bCs w:val="0"/>
                      <w:kern w:val="0"/>
                      <w:sz w:val="18"/>
                      <w:szCs w:val="18"/>
                      <w:lang w:val="en-US"/>
                    </w:rPr>
                    <w:t>Ⅱ类</w:t>
                  </w:r>
                  <w:r>
                    <w:rPr>
                      <w:rFonts w:hint="eastAsia" w:cs="Arial"/>
                      <w:b w:val="0"/>
                      <w:spacing w:val="0"/>
                      <w:sz w:val="18"/>
                      <w:szCs w:val="18"/>
                      <w:lang w:val="en-US"/>
                    </w:rPr>
                    <w:t>（辅材类）</w:t>
                  </w:r>
                </w:p>
              </w:tc>
              <w:tc>
                <w:tcPr>
                  <w:tcW w:w="90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ind w:left="-105" w:leftChars="-50" w:right="-105" w:rightChars="-50"/>
                    <w:jc w:val="center"/>
                    <w:textAlignment w:val="auto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18"/>
                      <w:szCs w:val="18"/>
                    </w:rPr>
                    <w:t>★</w:t>
                  </w: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ind w:left="-105" w:leftChars="-50" w:right="-105" w:rightChars="-50"/>
                    <w:jc w:val="center"/>
                    <w:textAlignment w:val="auto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bCs/>
                      <w:sz w:val="18"/>
                      <w:szCs w:val="18"/>
                    </w:rPr>
                    <w:t>☆</w:t>
                  </w:r>
                </w:p>
              </w:tc>
              <w:tc>
                <w:tcPr>
                  <w:tcW w:w="94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ind w:left="-105" w:leftChars="-50" w:right="-105" w:rightChars="-50"/>
                    <w:jc w:val="center"/>
                    <w:textAlignment w:val="auto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18"/>
                      <w:szCs w:val="18"/>
                    </w:rPr>
                    <w:t>★</w:t>
                  </w:r>
                </w:p>
              </w:tc>
              <w:tc>
                <w:tcPr>
                  <w:tcW w:w="1359" w:type="dxa"/>
                  <w:vAlign w:val="center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jc w:val="center"/>
                    <w:textAlignment w:val="auto"/>
                    <w:rPr>
                      <w:b w:val="0"/>
                      <w:bCs w:val="0"/>
                      <w:kern w:val="0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 w:cs="Arial"/>
                      <w:b w:val="0"/>
                      <w:bCs w:val="0"/>
                      <w:spacing w:val="0"/>
                      <w:sz w:val="18"/>
                      <w:szCs w:val="18"/>
                      <w:lang w:val="en-US"/>
                    </w:rPr>
                    <w:t>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3" w:hRule="atLeast"/>
                <w:jc w:val="center"/>
              </w:trPr>
              <w:tc>
                <w:tcPr>
                  <w:tcW w:w="3420" w:type="dxa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textAlignment w:val="auto"/>
                    <w:rPr>
                      <w:b w:val="0"/>
                      <w:bCs w:val="0"/>
                      <w:kern w:val="0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b w:val="0"/>
                      <w:bCs w:val="0"/>
                      <w:kern w:val="0"/>
                      <w:sz w:val="18"/>
                      <w:szCs w:val="18"/>
                      <w:lang w:val="en-US"/>
                    </w:rPr>
                    <w:t>Ⅲ类</w:t>
                  </w:r>
                  <w:r>
                    <w:rPr>
                      <w:rFonts w:hint="eastAsia" w:cs="Arial"/>
                      <w:b w:val="0"/>
                      <w:spacing w:val="0"/>
                      <w:sz w:val="18"/>
                      <w:szCs w:val="18"/>
                      <w:lang w:val="en-US"/>
                    </w:rPr>
                    <w:t>（固定资产、设备）</w:t>
                  </w:r>
                </w:p>
              </w:tc>
              <w:tc>
                <w:tcPr>
                  <w:tcW w:w="90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ind w:left="-105" w:leftChars="-50" w:right="-105" w:rightChars="-50"/>
                    <w:jc w:val="center"/>
                    <w:textAlignment w:val="auto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18"/>
                      <w:szCs w:val="18"/>
                    </w:rPr>
                    <w:t>★</w:t>
                  </w: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ind w:left="-105" w:leftChars="-50" w:right="-105" w:rightChars="-50"/>
                    <w:jc w:val="center"/>
                    <w:textAlignment w:val="auto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bCs/>
                      <w:sz w:val="18"/>
                      <w:szCs w:val="18"/>
                    </w:rPr>
                    <w:t>☆</w:t>
                  </w:r>
                </w:p>
              </w:tc>
              <w:tc>
                <w:tcPr>
                  <w:tcW w:w="94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ind w:left="-105" w:leftChars="-50" w:right="-105" w:rightChars="-50"/>
                    <w:jc w:val="center"/>
                    <w:textAlignment w:val="auto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bCs/>
                      <w:sz w:val="18"/>
                      <w:szCs w:val="18"/>
                    </w:rPr>
                    <w:t>☆</w:t>
                  </w:r>
                </w:p>
              </w:tc>
              <w:tc>
                <w:tcPr>
                  <w:tcW w:w="1359" w:type="dxa"/>
                  <w:vAlign w:val="center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jc w:val="center"/>
                    <w:textAlignment w:val="auto"/>
                    <w:rPr>
                      <w:b w:val="0"/>
                      <w:bCs w:val="0"/>
                      <w:kern w:val="0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 w:cs="Arial"/>
                      <w:b w:val="0"/>
                      <w:bCs w:val="0"/>
                      <w:spacing w:val="0"/>
                      <w:sz w:val="18"/>
                      <w:szCs w:val="18"/>
                      <w:lang w:val="en-US"/>
                    </w:rPr>
                    <w:t>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  <w:jc w:val="center"/>
              </w:trPr>
              <w:tc>
                <w:tcPr>
                  <w:tcW w:w="3420" w:type="dxa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textAlignment w:val="auto"/>
                    <w:rPr>
                      <w:b w:val="0"/>
                      <w:bCs w:val="0"/>
                      <w:kern w:val="0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b w:val="0"/>
                      <w:bCs w:val="0"/>
                      <w:kern w:val="0"/>
                      <w:sz w:val="18"/>
                      <w:szCs w:val="18"/>
                      <w:lang w:val="en-US"/>
                    </w:rPr>
                    <w:t>Ⅲ类</w:t>
                  </w:r>
                  <w:r>
                    <w:rPr>
                      <w:rFonts w:hint="eastAsia" w:cs="Arial"/>
                      <w:b w:val="0"/>
                      <w:spacing w:val="0"/>
                      <w:sz w:val="18"/>
                      <w:szCs w:val="18"/>
                      <w:lang w:val="en-US"/>
                    </w:rPr>
                    <w:t>（机电委外交加工类）</w:t>
                  </w:r>
                </w:p>
              </w:tc>
              <w:tc>
                <w:tcPr>
                  <w:tcW w:w="90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ind w:left="-105" w:leftChars="-50" w:right="-105" w:rightChars="-50"/>
                    <w:jc w:val="center"/>
                    <w:textAlignment w:val="auto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18"/>
                      <w:szCs w:val="18"/>
                    </w:rPr>
                    <w:t>★</w:t>
                  </w: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ind w:left="-105" w:leftChars="-50" w:right="-105" w:rightChars="-50"/>
                    <w:jc w:val="center"/>
                    <w:textAlignment w:val="auto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bCs/>
                      <w:sz w:val="18"/>
                      <w:szCs w:val="18"/>
                    </w:rPr>
                    <w:t>☆</w:t>
                  </w:r>
                </w:p>
              </w:tc>
              <w:tc>
                <w:tcPr>
                  <w:tcW w:w="94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ind w:left="-105" w:leftChars="-50" w:right="-105" w:rightChars="-50"/>
                    <w:jc w:val="center"/>
                    <w:textAlignment w:val="auto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bCs/>
                      <w:sz w:val="18"/>
                      <w:szCs w:val="18"/>
                    </w:rPr>
                    <w:t xml:space="preserve">☆ </w:t>
                  </w:r>
                </w:p>
              </w:tc>
              <w:tc>
                <w:tcPr>
                  <w:tcW w:w="1359" w:type="dxa"/>
                  <w:vAlign w:val="center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jc w:val="center"/>
                    <w:textAlignment w:val="auto"/>
                    <w:rPr>
                      <w:b w:val="0"/>
                      <w:bCs w:val="0"/>
                      <w:kern w:val="0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 w:cs="Arial"/>
                      <w:b w:val="0"/>
                      <w:bCs w:val="0"/>
                      <w:spacing w:val="0"/>
                      <w:sz w:val="18"/>
                      <w:szCs w:val="18"/>
                      <w:lang w:val="en-US"/>
                    </w:rPr>
                    <w:t>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1" w:hRule="atLeast"/>
                <w:jc w:val="center"/>
              </w:trPr>
              <w:tc>
                <w:tcPr>
                  <w:tcW w:w="3420" w:type="dxa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textAlignment w:val="auto"/>
                    <w:rPr>
                      <w:b w:val="0"/>
                      <w:bCs w:val="0"/>
                      <w:kern w:val="0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b w:val="0"/>
                      <w:bCs w:val="0"/>
                      <w:kern w:val="0"/>
                      <w:sz w:val="18"/>
                      <w:szCs w:val="18"/>
                      <w:lang w:val="en-US"/>
                    </w:rPr>
                    <w:t>Ⅳ类</w:t>
                  </w:r>
                  <w:r>
                    <w:rPr>
                      <w:rFonts w:hint="eastAsia" w:cs="Arial"/>
                      <w:b w:val="0"/>
                      <w:spacing w:val="0"/>
                      <w:sz w:val="18"/>
                      <w:szCs w:val="18"/>
                      <w:lang w:val="en-US"/>
                    </w:rPr>
                    <w:t>（五金备件、油品及试剂、专用性物资、外包装材料类）</w:t>
                  </w:r>
                </w:p>
              </w:tc>
              <w:tc>
                <w:tcPr>
                  <w:tcW w:w="905" w:type="dxa"/>
                  <w:vAlign w:val="center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jc w:val="center"/>
                    <w:textAlignment w:val="auto"/>
                    <w:rPr>
                      <w:b w:val="0"/>
                      <w:bCs w:val="0"/>
                      <w:kern w:val="0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b w:val="0"/>
                      <w:bCs w:val="0"/>
                      <w:kern w:val="0"/>
                      <w:sz w:val="18"/>
                      <w:szCs w:val="18"/>
                      <w:lang w:val="en-US"/>
                    </w:rPr>
                    <w:t>★</w:t>
                  </w: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jc w:val="center"/>
                    <w:textAlignment w:val="auto"/>
                    <w:rPr>
                      <w:b w:val="0"/>
                      <w:bCs w:val="0"/>
                      <w:kern w:val="0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 w:cs="Arial"/>
                      <w:b w:val="0"/>
                      <w:bCs w:val="0"/>
                      <w:spacing w:val="0"/>
                      <w:sz w:val="18"/>
                      <w:szCs w:val="18"/>
                      <w:lang w:val="en-US"/>
                    </w:rPr>
                    <w:t>☆</w:t>
                  </w:r>
                </w:p>
              </w:tc>
              <w:tc>
                <w:tcPr>
                  <w:tcW w:w="94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ind w:left="-105" w:leftChars="-50" w:right="-105" w:rightChars="-50"/>
                    <w:jc w:val="center"/>
                    <w:textAlignment w:val="auto"/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bCs/>
                      <w:sz w:val="18"/>
                      <w:szCs w:val="18"/>
                    </w:rPr>
                    <w:t>☆</w:t>
                  </w:r>
                </w:p>
              </w:tc>
              <w:tc>
                <w:tcPr>
                  <w:tcW w:w="1359" w:type="dxa"/>
                  <w:vAlign w:val="center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jc w:val="center"/>
                    <w:textAlignment w:val="auto"/>
                    <w:rPr>
                      <w:b w:val="0"/>
                      <w:bCs w:val="0"/>
                      <w:kern w:val="0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 w:cs="Arial"/>
                      <w:b w:val="0"/>
                      <w:bCs w:val="0"/>
                      <w:spacing w:val="0"/>
                      <w:sz w:val="18"/>
                      <w:szCs w:val="18"/>
                      <w:lang w:val="en-US"/>
                    </w:rPr>
                    <w:t>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3" w:hRule="atLeast"/>
                <w:jc w:val="center"/>
              </w:trPr>
              <w:tc>
                <w:tcPr>
                  <w:tcW w:w="3420" w:type="dxa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textAlignment w:val="auto"/>
                    <w:rPr>
                      <w:b w:val="0"/>
                      <w:bCs w:val="0"/>
                      <w:kern w:val="0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b w:val="0"/>
                      <w:bCs w:val="0"/>
                      <w:kern w:val="0"/>
                      <w:sz w:val="18"/>
                      <w:szCs w:val="18"/>
                      <w:lang w:val="en-US"/>
                    </w:rPr>
                    <w:t>Ⅳ类（</w:t>
                  </w:r>
                  <w:r>
                    <w:rPr>
                      <w:rFonts w:hint="eastAsia" w:cs="Arial"/>
                      <w:b w:val="0"/>
                      <w:spacing w:val="0"/>
                      <w:sz w:val="18"/>
                      <w:szCs w:val="18"/>
                      <w:lang w:val="en-US"/>
                    </w:rPr>
                    <w:t>办公及劳保用品）</w:t>
                  </w:r>
                </w:p>
              </w:tc>
              <w:tc>
                <w:tcPr>
                  <w:tcW w:w="905" w:type="dxa"/>
                  <w:vAlign w:val="center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jc w:val="center"/>
                    <w:textAlignment w:val="auto"/>
                    <w:rPr>
                      <w:b w:val="0"/>
                      <w:bCs w:val="0"/>
                      <w:kern w:val="0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b w:val="0"/>
                      <w:bCs w:val="0"/>
                      <w:kern w:val="0"/>
                      <w:sz w:val="18"/>
                      <w:szCs w:val="18"/>
                      <w:lang w:val="en-US"/>
                    </w:rPr>
                    <w:t>★</w:t>
                  </w:r>
                </w:p>
              </w:tc>
              <w:tc>
                <w:tcPr>
                  <w:tcW w:w="991" w:type="dxa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jc w:val="center"/>
                    <w:textAlignment w:val="auto"/>
                    <w:rPr>
                      <w:b w:val="0"/>
                      <w:bCs w:val="0"/>
                      <w:kern w:val="0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b w:val="0"/>
                      <w:bCs w:val="0"/>
                      <w:kern w:val="0"/>
                      <w:sz w:val="18"/>
                      <w:szCs w:val="18"/>
                      <w:lang w:val="en-US"/>
                    </w:rPr>
                    <w:t>☆</w:t>
                  </w:r>
                </w:p>
              </w:tc>
              <w:tc>
                <w:tcPr>
                  <w:tcW w:w="944" w:type="dxa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jc w:val="center"/>
                    <w:textAlignment w:val="auto"/>
                    <w:rPr>
                      <w:b w:val="0"/>
                      <w:bCs w:val="0"/>
                      <w:kern w:val="0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b w:val="0"/>
                      <w:bCs w:val="0"/>
                      <w:kern w:val="0"/>
                      <w:sz w:val="18"/>
                      <w:szCs w:val="18"/>
                      <w:lang w:val="en-US"/>
                    </w:rPr>
                    <w:t>☆</w:t>
                  </w:r>
                </w:p>
              </w:tc>
              <w:tc>
                <w:tcPr>
                  <w:tcW w:w="1359" w:type="dxa"/>
                  <w:vAlign w:val="center"/>
                </w:tcPr>
                <w:p>
                  <w:pPr>
                    <w:pStyle w:val="18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before="0" w:beforeLines="0" w:after="0" w:afterLines="0"/>
                    <w:ind w:left="-105" w:leftChars="-50" w:right="-105" w:rightChars="-50"/>
                    <w:jc w:val="center"/>
                    <w:textAlignment w:val="auto"/>
                    <w:rPr>
                      <w:b w:val="0"/>
                      <w:bCs w:val="0"/>
                      <w:kern w:val="0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b w:val="0"/>
                      <w:bCs w:val="0"/>
                      <w:kern w:val="0"/>
                      <w:sz w:val="18"/>
                      <w:szCs w:val="18"/>
                      <w:lang w:val="en-US"/>
                    </w:rPr>
                    <w:t>☆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3）合格供应商的资质：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①有合法经营许可证，且具备必要的资金能力。②优先选择按国家（国际）标准建立质量体系并已通过认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，且其产品取得特别资格、较大荣誉或特殊称号。③有条件的供应商进行实地审查，填写《供应商实地审查表》，得分在70分以上。（原则上对年采购额在200万以上公司，应实地审查，三年一次；各事业部可根据实际供应物资质量情况，增加审核频次）。④具有足够生产能力，能满足公司连续需求及进一步扩大产量的需要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⑤能有效处理紧急订单。⑥样品通过试用合格（办公用品类除外）。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4）评价供方的依据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①供方的生产能力或供应能力能够满足使用要求，能够确保按时按量供货； ②相关管理体系认证证书；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③供方应信誉良好，有合法的营业执照且所售产品在其经营范围之内；  ④重要主辅材供应商需经过三步认定。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公司应禁止采购《淘汰落后生产能力、工艺和产品的目录》、《高耗能落后机电设备（产品）淘汰目录》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和《产业结构指导目录》规定的淘汰产品和设备，对现有产品、设备进行更换时，应尽量采用高效的节能产品，或者采用国家鼓励的节能产品和设备。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pStyle w:val="2"/>
              <w:numPr>
                <w:ilvl w:val="0"/>
                <w:numId w:val="3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提供钼份经营部的采购计划与审批：公司均为走ERP线上流程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3008630" cy="1832610"/>
                  <wp:effectExtent l="0" t="0" r="1270" b="3810"/>
                  <wp:docPr id="10" name="图片 10" descr="56e17d15e04899c7ee42eaf4d2679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56e17d15e04899c7ee42eaf4d2679f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630" cy="183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3048000" cy="1834515"/>
                  <wp:effectExtent l="0" t="0" r="0" b="1905"/>
                  <wp:docPr id="11" name="图片 11" descr="dfb9f819605b18015686e7e08f172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fb9f819605b18015686e7e08f1725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83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525" w:leftChars="0"/>
              <w:jc w:val="left"/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4、抽查2021年合格供方名录：</w:t>
            </w:r>
          </w:p>
          <w:p>
            <w:pPr>
              <w:pStyle w:val="2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 xml:space="preserve"> 提供《合格供方名册》(二零二一年）采J201。</w:t>
            </w:r>
          </w:p>
          <w:p>
            <w:pPr>
              <w:pStyle w:val="2"/>
              <w:numPr>
                <w:ilvl w:val="0"/>
                <w:numId w:val="0"/>
              </w:numPr>
              <w:ind w:left="420" w:leftChars="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其中1）合格供方名册（主材）共20家，全部按照：“序号、合格供方名称、原材料采购标准、原材料名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称、类别、准入时间、备注”进行登记。</w:t>
            </w:r>
          </w:p>
          <w:p>
            <w:pPr>
              <w:pStyle w:val="2"/>
              <w:numPr>
                <w:ilvl w:val="0"/>
                <w:numId w:val="0"/>
              </w:numPr>
              <w:ind w:left="420" w:leftChars="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其中2）合格供方名册（辅材）共12家，全部按照：“序号、合格供方名称、原材料采购标准、原材料名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称、类别、准入时间、备注”进行登记。</w:t>
            </w:r>
          </w:p>
          <w:p>
            <w:pPr>
              <w:pStyle w:val="2"/>
              <w:numPr>
                <w:ilvl w:val="0"/>
                <w:numId w:val="0"/>
              </w:numPr>
              <w:ind w:firstLine="420" w:firstLineChars="20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其中3）合格供方名册（技术服务）共28家，全部按照：“序号、合格供方名称、原材料采购标准、原材料名称、类别、准入时间、备注”进行登记。</w:t>
            </w:r>
          </w:p>
          <w:p>
            <w:pPr>
              <w:pStyle w:val="2"/>
              <w:numPr>
                <w:ilvl w:val="0"/>
                <w:numId w:val="0"/>
              </w:numPr>
              <w:ind w:left="420" w:leftChars="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其中4）合格供方名册（采购贸易类）共10家，全部按照：“序号、合格供方名称、原材料采购标准、原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材料名称、类别、准入时间、备注”进行登记。</w:t>
            </w:r>
          </w:p>
          <w:p>
            <w:pPr>
              <w:pStyle w:val="2"/>
              <w:ind w:left="840" w:leftChars="300" w:hanging="210" w:hanging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5、能源采购归设备动力部管理。</w:t>
            </w:r>
          </w:p>
        </w:tc>
        <w:tc>
          <w:tcPr>
            <w:tcW w:w="121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.不符合与纠正措施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10.1</w:t>
            </w:r>
          </w:p>
        </w:tc>
        <w:tc>
          <w:tcPr>
            <w:tcW w:w="10376" w:type="dxa"/>
          </w:tcPr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《监视、测量与分析控制程序》《不符合、纠正、纠正措施和预防措施控制程序》公司建立、实施并保持《监视、测量与分析控制程序》，以实现对能源管理绩效的监视、测量与评价，本单位负责本部门的相关目标、指标、运行控制等的监控和测量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监视和测量内容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1、能源绩效关键特性测量计划的实现情况，如综合能耗、单位产品能耗、节能量、余能回收利用等的实施情况。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能源管理实施方案的执行情况，包括通过对能源管理实施方案的实施进度和内容的监测，及时发现方案执行过程中出现的偏差，对能源管理方案的实施的节能效果进行计算和审核，确认节能管理方案是否达到预期结果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3、主要耗能设备设施的能源绩效参数变化情况。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4、优先控制的改进能源绩效机会：通过对执行管理制度、操作规范、工艺参数控制等要求的监视、确保优先控制的改进能源绩效机会始终处于有效控制之下。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公司规定了为了及时纠正在能源管理体系运行中发现的不符合，采取有效的纠正措施与预防措施，减少对生产经营活动的影响，避免不符合的再次发生。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目前钼份经营部提供2020年及2021年1至8月的对能源采购、物资采购的相关记录，没有发生违规现象。</w:t>
            </w:r>
          </w:p>
        </w:tc>
        <w:tc>
          <w:tcPr>
            <w:tcW w:w="1213" w:type="dxa"/>
          </w:tcPr>
          <w:p/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-36195</wp:posOffset>
          </wp:positionV>
          <wp:extent cx="375285" cy="359410"/>
          <wp:effectExtent l="0" t="0" r="0" b="6350"/>
          <wp:wrapTight wrapText="bothSides">
            <wp:wrapPolygon>
              <wp:start x="5702" y="0"/>
              <wp:lineTo x="0" y="2748"/>
              <wp:lineTo x="0" y="16486"/>
              <wp:lineTo x="6579" y="21066"/>
              <wp:lineTo x="9210" y="21066"/>
              <wp:lineTo x="14473" y="21066"/>
              <wp:lineTo x="14912" y="21066"/>
              <wp:lineTo x="20613" y="14654"/>
              <wp:lineTo x="20613" y="5953"/>
              <wp:lineTo x="17105" y="1374"/>
              <wp:lineTo x="14035" y="0"/>
              <wp:lineTo x="570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5285" cy="359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6EB1"/>
    <w:multiLevelType w:val="singleLevel"/>
    <w:tmpl w:val="0C4C6EB1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1E195D1D"/>
    <w:multiLevelType w:val="multilevel"/>
    <w:tmpl w:val="1E195D1D"/>
    <w:lvl w:ilvl="0" w:tentative="0">
      <w:start w:val="1"/>
      <w:numFmt w:val="decimal"/>
      <w:pStyle w:val="18"/>
      <w:lvlText w:val="%1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454" w:hanging="454"/>
      </w:pPr>
      <w:rPr>
        <w:rFonts w:hint="eastAsia"/>
        <w:b w:val="0"/>
      </w:rPr>
    </w:lvl>
    <w:lvl w:ilvl="2" w:tentative="0">
      <w:start w:val="1"/>
      <w:numFmt w:val="decimal"/>
      <w:lvlText w:val="%1.%2.%3"/>
      <w:lvlJc w:val="left"/>
      <w:pPr>
        <w:tabs>
          <w:tab w:val="left" w:pos="284"/>
        </w:tabs>
        <w:ind w:left="284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2">
    <w:nsid w:val="67EF4EF1"/>
    <w:multiLevelType w:val="singleLevel"/>
    <w:tmpl w:val="67EF4EF1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C1B48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3DC30E0"/>
    <w:rsid w:val="046567E2"/>
    <w:rsid w:val="05DF3DCC"/>
    <w:rsid w:val="07B02DDE"/>
    <w:rsid w:val="086D74C3"/>
    <w:rsid w:val="09AA2A96"/>
    <w:rsid w:val="108219C2"/>
    <w:rsid w:val="10BB2035"/>
    <w:rsid w:val="12EC4A9A"/>
    <w:rsid w:val="139C646D"/>
    <w:rsid w:val="16B93B5D"/>
    <w:rsid w:val="193659FF"/>
    <w:rsid w:val="1B007415"/>
    <w:rsid w:val="1D0E057A"/>
    <w:rsid w:val="1DC55895"/>
    <w:rsid w:val="21F26553"/>
    <w:rsid w:val="23BB39C7"/>
    <w:rsid w:val="261850EC"/>
    <w:rsid w:val="27CE53B5"/>
    <w:rsid w:val="280A0C40"/>
    <w:rsid w:val="2B283970"/>
    <w:rsid w:val="2FB21DC4"/>
    <w:rsid w:val="355A4358"/>
    <w:rsid w:val="38052C74"/>
    <w:rsid w:val="39E7305B"/>
    <w:rsid w:val="3B2E34E6"/>
    <w:rsid w:val="3CFF5E3C"/>
    <w:rsid w:val="3D245307"/>
    <w:rsid w:val="3D6D656F"/>
    <w:rsid w:val="4DB6221E"/>
    <w:rsid w:val="571421BF"/>
    <w:rsid w:val="59A63954"/>
    <w:rsid w:val="5AD0717F"/>
    <w:rsid w:val="5B553FC5"/>
    <w:rsid w:val="5BFD0207"/>
    <w:rsid w:val="5D147476"/>
    <w:rsid w:val="5EA12B9A"/>
    <w:rsid w:val="5F0D1C5A"/>
    <w:rsid w:val="621F7D19"/>
    <w:rsid w:val="66856E51"/>
    <w:rsid w:val="6A8123EB"/>
    <w:rsid w:val="715616AC"/>
    <w:rsid w:val="73B542BD"/>
    <w:rsid w:val="765038CB"/>
    <w:rsid w:val="78465287"/>
    <w:rsid w:val="7B371D97"/>
    <w:rsid w:val="7D5E684F"/>
    <w:rsid w:val="7D620F7B"/>
    <w:rsid w:val="7F8A3A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5">
    <w:name w:val="List Paragraph"/>
    <w:basedOn w:val="1"/>
    <w:qFormat/>
    <w:uiPriority w:val="1"/>
    <w:pPr>
      <w:autoSpaceDE w:val="0"/>
      <w:autoSpaceDN w:val="0"/>
      <w:spacing w:before="92"/>
      <w:ind w:left="980" w:hanging="60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16">
    <w:name w:val="表头"/>
    <w:basedOn w:val="1"/>
    <w:next w:val="1"/>
    <w:qFormat/>
    <w:uiPriority w:val="0"/>
    <w:pPr>
      <w:spacing w:beforeLines="50" w:afterLines="20"/>
      <w:jc w:val="center"/>
      <w:textAlignment w:val="center"/>
    </w:pPr>
    <w:rPr>
      <w:rFonts w:ascii="宋体" w:hAnsi="宋体" w:cs="宋体"/>
      <w:sz w:val="24"/>
      <w:szCs w:val="24"/>
    </w:rPr>
  </w:style>
  <w:style w:type="character" w:customStyle="1" w:styleId="17">
    <w:name w:val="normaltextrun"/>
    <w:qFormat/>
    <w:uiPriority w:val="0"/>
  </w:style>
  <w:style w:type="paragraph" w:customStyle="1" w:styleId="18">
    <w:name w:val="样式1"/>
    <w:basedOn w:val="6"/>
    <w:qFormat/>
    <w:uiPriority w:val="0"/>
    <w:pPr>
      <w:numPr>
        <w:ilvl w:val="0"/>
        <w:numId w:val="1"/>
      </w:numPr>
      <w:adjustRightInd w:val="0"/>
      <w:snapToGrid w:val="0"/>
      <w:spacing w:beforeLines="50" w:afterLines="50"/>
      <w:jc w:val="both"/>
    </w:pPr>
    <w:rPr>
      <w:rFonts w:ascii="宋体" w:hAnsi="宋体" w:cs="Times New Roman"/>
      <w:spacing w:val="-10"/>
      <w:sz w:val="28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6</TotalTime>
  <ScaleCrop>false</ScaleCrop>
  <LinksUpToDate>false</LinksUpToDate>
  <CharactersWithSpaces>147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王宁敏</cp:lastModifiedBy>
  <dcterms:modified xsi:type="dcterms:W3CDTF">2021-09-11T07:56:26Z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