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05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0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钼粉制造部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熊峰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孙红云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05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周涛、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9.9</w:t>
            </w:r>
          </w:p>
        </w:tc>
        <w:tc>
          <w:tcPr>
            <w:tcW w:w="88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05" w:type="dxa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/>
                <w:szCs w:val="21"/>
              </w:rPr>
              <w:t xml:space="preserve">5.3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 xml:space="preserve">6.2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6.3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6.4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6.5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6.6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/>
                <w:szCs w:val="21"/>
              </w:rPr>
              <w:t>8.1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/10.1/10.2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88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组织的岗位、</w:t>
            </w:r>
            <w:r>
              <w:rPr>
                <w:rFonts w:hint="eastAsia"/>
                <w:lang w:val="en-US" w:eastAsia="zh-CN"/>
              </w:rPr>
              <w:t>职责权限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En5.3</w:t>
            </w:r>
          </w:p>
        </w:tc>
        <w:tc>
          <w:tcPr>
            <w:tcW w:w="10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钼粉制造部职责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按照公司生产经营计划的要求，制定部门整体生产计划并组织实施。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控制生产进度，确保生产计划如期完成，处理影响生产进度的重大异常情况。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控制产品质量，确保产品各项质量指标达到公司质量控制标准。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承担产品生产过程的产品工艺管理工作。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承担产品生产过程中间控制的管理、技术改进工作。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控制生产成本消耗，开展节能降耗研究工作。</w:t>
            </w:r>
          </w:p>
          <w:p>
            <w:pPr>
              <w:spacing w:line="360" w:lineRule="exact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hAnsi="宋体"/>
              </w:rPr>
              <w:t>承担生产安全管理工作。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经理对职责基本明确清晰。</w:t>
            </w:r>
          </w:p>
        </w:tc>
        <w:tc>
          <w:tcPr>
            <w:tcW w:w="884" w:type="dxa"/>
          </w:tcPr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1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能源目标\</w:t>
            </w:r>
            <w:r>
              <w:rPr>
                <w:rFonts w:hint="eastAsia" w:ascii="宋体" w:hAnsi="宋体"/>
                <w:szCs w:val="21"/>
              </w:rPr>
              <w:t>能源指及其实现的策划</w:t>
            </w:r>
          </w:p>
        </w:tc>
        <w:tc>
          <w:tcPr>
            <w:tcW w:w="9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En6.2</w:t>
            </w:r>
          </w:p>
        </w:tc>
        <w:tc>
          <w:tcPr>
            <w:tcW w:w="10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钼粉制造部2020的能耗指标：单位产品能耗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kgce/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pStyle w:val="2"/>
              <w:ind w:firstLine="1100" w:firstLineChars="500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2020年单位产品能耗为0.89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kgce/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  <w:p>
            <w:pPr>
              <w:pStyle w:val="2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以2020年的实际单耗为2021年的能源目标，即2021年的能源目标为：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kgce/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  <w:p>
            <w:pPr>
              <w:pStyle w:val="2"/>
              <w:ind w:firstLine="440" w:firstLineChars="200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2021年1-8月份单位产品能耗为0.86kgce/kg。</w:t>
            </w:r>
          </w:p>
          <w:p>
            <w:pPr>
              <w:pStyle w:val="2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有上述指标来看，2020年，单位产品能耗已经高于目标值，需要进行原因分析，并制定节能措施。</w:t>
            </w:r>
          </w:p>
        </w:tc>
        <w:tc>
          <w:tcPr>
            <w:tcW w:w="884" w:type="dxa"/>
          </w:tcPr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不符合项开在10.1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能源评审</w:t>
            </w:r>
          </w:p>
        </w:tc>
        <w:tc>
          <w:tcPr>
            <w:tcW w:w="9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En6.3</w:t>
            </w:r>
          </w:p>
        </w:tc>
        <w:tc>
          <w:tcPr>
            <w:tcW w:w="10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提供：“成都联虹钼业有限公司能源评审报告”2021年8月10；内容包括：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能源评审基础信息（目的和范围和边界、评审期、公司能源使用基本情况、淘汰能耗落后工艺、设备概况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）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;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公司管理体系覆盖范围包括：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水泵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生产和销售所涉及的能源管理的能源购入、能源转换、能源分配传输和能源使用活动。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评审期：2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年1月1日～20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年12月31日。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基准期：2019年1月1日～2019年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月31日生产</w:t>
            </w:r>
            <w:r>
              <w:rPr>
                <w:rFonts w:ascii="宋体" w:hAnsi="宋体"/>
                <w:szCs w:val="21"/>
              </w:rPr>
              <w:t>周期内平均值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能源管理状况评审（能源方针目标、能源管理组织及职责、能源管理制度、能源管理、能源计量、能源统计管理、能源定额管理、近三年生产和节能技改项目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）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能源利用状况评审（能源消耗结构分析、用能设备能耗分析等）；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节能潜力分析和能源绩效优先改进机会识别（管理改进方法、项目改进方法）；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未来能源的消耗分析；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能源评审输出（能源绩效参数、能源基准和能源目标指标、影响主要能源使用的相关变量和参数控制）；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结论和建议（总体评价、建议）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以上内容基本满足标准要求。</w:t>
            </w:r>
          </w:p>
        </w:tc>
        <w:tc>
          <w:tcPr>
            <w:tcW w:w="8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能源绩效参数、能源基准的确定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En6.4/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6.5</w:t>
            </w:r>
          </w:p>
        </w:tc>
        <w:tc>
          <w:tcPr>
            <w:tcW w:w="1070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钼粉制造部根据2019年的能耗情况进行分析，确定2020年的单位产品能耗为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kgce/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  <w:r>
              <w:rPr>
                <w:rFonts w:hint="eastAsia"/>
                <w:lang w:val="en-US" w:eastAsia="zh-CN"/>
              </w:rPr>
              <w:t xml:space="preserve">。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企业制定的能源绩效参数为：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综合能耗、和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单位产品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综合能耗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（</w:t>
            </w:r>
            <w:r>
              <w:rPr>
                <w:rFonts w:hint="eastAsia"/>
                <w:lang w:val="en-US" w:eastAsia="zh-CN"/>
              </w:rPr>
              <w:t>kgce/kg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）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能源基准以上年度实际发生值为基准。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根据能源评审报告分析：202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年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钼粉制造部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能源绩效参数和能源基准确定如下;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8"/>
              <w:gridCol w:w="989"/>
              <w:gridCol w:w="2067"/>
              <w:gridCol w:w="1170"/>
              <w:gridCol w:w="1940"/>
              <w:gridCol w:w="1160"/>
              <w:gridCol w:w="1436"/>
              <w:gridCol w:w="7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37" w:hRule="atLeast"/>
              </w:trPr>
              <w:tc>
                <w:tcPr>
                  <w:tcW w:w="818" w:type="dxa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989" w:type="dxa"/>
                </w:tcPr>
                <w:p>
                  <w:pPr>
                    <w:pStyle w:val="2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级别</w:t>
                  </w:r>
                </w:p>
              </w:tc>
              <w:tc>
                <w:tcPr>
                  <w:tcW w:w="2067" w:type="dxa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能源绩效参数</w:t>
                  </w:r>
                </w:p>
              </w:tc>
              <w:tc>
                <w:tcPr>
                  <w:tcW w:w="1170" w:type="dxa"/>
                </w:tcPr>
                <w:p>
                  <w:pPr>
                    <w:pStyle w:val="2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单位</w:t>
                  </w:r>
                </w:p>
              </w:tc>
              <w:tc>
                <w:tcPr>
                  <w:tcW w:w="1940" w:type="dxa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能源基准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（2019年）</w:t>
                  </w:r>
                </w:p>
              </w:tc>
              <w:tc>
                <w:tcPr>
                  <w:tcW w:w="1160" w:type="dxa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能源目标</w:t>
                  </w:r>
                </w:p>
                <w:p>
                  <w:pPr>
                    <w:pStyle w:val="2"/>
                    <w:ind w:left="0" w:leftChars="0" w:firstLine="0" w:firstLineChars="0"/>
                    <w:jc w:val="center"/>
                    <w:rPr>
                      <w:rFonts w:hint="default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436" w:type="dxa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完成时间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(2020)</w:t>
                  </w:r>
                </w:p>
              </w:tc>
              <w:tc>
                <w:tcPr>
                  <w:tcW w:w="756" w:type="dxa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818" w:type="dxa"/>
                </w:tcPr>
                <w:p>
                  <w:pPr>
                    <w:pStyle w:val="2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989" w:type="dxa"/>
                </w:tcPr>
                <w:p>
                  <w:pPr>
                    <w:pStyle w:val="2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二</w:t>
                  </w:r>
                </w:p>
              </w:tc>
              <w:tc>
                <w:tcPr>
                  <w:tcW w:w="2067" w:type="dxa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单位产品综合能耗</w:t>
                  </w:r>
                </w:p>
              </w:tc>
              <w:tc>
                <w:tcPr>
                  <w:tcW w:w="1170" w:type="dxa"/>
                </w:tcPr>
                <w:p>
                  <w:pPr>
                    <w:pStyle w:val="2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Kgce/kg</w:t>
                  </w:r>
                </w:p>
              </w:tc>
              <w:tc>
                <w:tcPr>
                  <w:tcW w:w="1940" w:type="dxa"/>
                </w:tcPr>
                <w:p>
                  <w:pPr>
                    <w:pStyle w:val="2"/>
                    <w:ind w:left="0" w:leftChars="0" w:firstLine="440" w:firstLineChars="200"/>
                    <w:rPr>
                      <w:rFonts w:hint="default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60" w:type="dxa"/>
                  <w:vAlign w:val="top"/>
                </w:tcPr>
                <w:p>
                  <w:pPr>
                    <w:pStyle w:val="2"/>
                    <w:ind w:left="0" w:leftChars="0" w:firstLine="220" w:firstLineChars="10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436" w:type="dxa"/>
                </w:tcPr>
                <w:p>
                  <w:pPr>
                    <w:pStyle w:val="2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  <w:t>0.89</w:t>
                  </w:r>
                </w:p>
              </w:tc>
              <w:tc>
                <w:tcPr>
                  <w:tcW w:w="756" w:type="dxa"/>
                </w:tcPr>
                <w:p>
                  <w:pPr>
                    <w:pStyle w:val="2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能源数据的收集策划</w:t>
            </w:r>
          </w:p>
        </w:tc>
        <w:tc>
          <w:tcPr>
            <w:tcW w:w="9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En6.6</w:t>
            </w:r>
          </w:p>
        </w:tc>
        <w:tc>
          <w:tcPr>
            <w:tcW w:w="10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eastAsia="宋体" w:cs="Times New Roman"/>
                <w:szCs w:val="22"/>
                <w:lang w:val="en-US" w:eastAsia="zh-CN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根据能源统计和能源核算以及成本考核等因素，对能源数据的收集进行了策划，并通过</w:t>
            </w: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生产统计表（日报表）的形式予以展示，按照数据收集策划的要求对能源消耗进行成本核算和考核，基本满足企业能源管理的要求。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但企业并未形成文件化或准则要求，建议企业逐步改进，已与企业进行沟通。</w:t>
            </w:r>
          </w:p>
        </w:tc>
        <w:tc>
          <w:tcPr>
            <w:tcW w:w="884" w:type="dxa"/>
          </w:tcPr>
          <w:p/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1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运行控制、沟通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En7.4/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6.6/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8.1/9.1.1</w:t>
            </w:r>
          </w:p>
        </w:tc>
        <w:tc>
          <w:tcPr>
            <w:tcW w:w="1070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一、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钼粉制造部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工艺流程：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生产工艺流程图：</w:t>
            </w:r>
          </w:p>
          <w:p>
            <w:pPr>
              <w:pStyle w:val="3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3028950" cy="3883660"/>
                  <wp:effectExtent l="0" t="0" r="6350" b="254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388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宋体" w:hAnsi="宋体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生产</w:t>
            </w:r>
            <w:r>
              <w:rPr>
                <w:rFonts w:hint="eastAsia" w:ascii="宋体" w:hAnsi="宋体" w:cs="Times New Roman"/>
                <w:szCs w:val="22"/>
                <w:lang w:val="en-US" w:eastAsia="zh-CN"/>
              </w:rPr>
              <w:t>过程中能耗</w:t>
            </w: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控制情况：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hint="default" w:ascii="宋体" w:hAnsi="宋体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抽查：202</w:t>
            </w:r>
            <w:r>
              <w:rPr>
                <w:rFonts w:hint="eastAsia" w:ascii="宋体" w:hAnsi="宋体" w:cs="Times New Roman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年</w:t>
            </w:r>
            <w:r>
              <w:rPr>
                <w:rFonts w:hint="eastAsia" w:ascii="宋体" w:hAnsi="宋体" w:cs="Times New Roman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月</w:t>
            </w:r>
            <w:r>
              <w:rPr>
                <w:rFonts w:hint="eastAsia" w:ascii="宋体" w:hAnsi="宋体" w:cs="Times New Roman"/>
                <w:szCs w:val="22"/>
                <w:lang w:val="en-US" w:eastAsia="zh-CN"/>
              </w:rPr>
              <w:t>1号</w:t>
            </w: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份生产统计表（日报表）和202</w:t>
            </w:r>
            <w:r>
              <w:rPr>
                <w:rFonts w:hint="eastAsia" w:ascii="宋体" w:hAnsi="宋体" w:cs="Times New Roman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年</w:t>
            </w:r>
            <w:r>
              <w:rPr>
                <w:rFonts w:hint="eastAsia" w:ascii="宋体" w:hAnsi="宋体" w:cs="Times New Roman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月份生产统计表（日报表）分析当月</w:t>
            </w:r>
            <w:r>
              <w:rPr>
                <w:rFonts w:hint="eastAsia" w:ascii="宋体" w:hAnsi="宋体" w:cs="Times New Roman"/>
                <w:szCs w:val="22"/>
                <w:lang w:val="en-US" w:eastAsia="zh-CN"/>
              </w:rPr>
              <w:t>能耗</w:t>
            </w: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与产品的消耗等数据，对能源消耗进行控制</w:t>
            </w:r>
            <w:r>
              <w:rPr>
                <w:rFonts w:hint="eastAsia" w:ascii="宋体" w:hAnsi="宋体" w:cs="Times New Roman"/>
                <w:szCs w:val="22"/>
                <w:lang w:val="en-US" w:eastAsia="zh-CN"/>
              </w:rPr>
              <w:t>。</w:t>
            </w:r>
          </w:p>
          <w:tbl>
            <w:tblPr>
              <w:tblStyle w:val="10"/>
              <w:tblW w:w="9801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71"/>
              <w:gridCol w:w="2310"/>
              <w:gridCol w:w="2310"/>
              <w:gridCol w:w="25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6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2020年</w:t>
                  </w:r>
                </w:p>
              </w:tc>
              <w:tc>
                <w:tcPr>
                  <w:tcW w:w="25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2021年1-8月份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67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val="en-US" w:eastAsia="zh-CN"/>
                    </w:rPr>
                    <w:t>产量（kg）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钼粉制造部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2124354.09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1703664.83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671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电量kwh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钼粉制造部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8878067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6776562.02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671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天然气（m³）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钼粉制造部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600132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473582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671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水（吨）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钼粉制造部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9245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7455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67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氢气量（立方）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钼粉制造部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3089174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2687093</w:t>
                  </w:r>
                </w:p>
              </w:tc>
            </w:tr>
          </w:tbl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宋体" w:hAnsi="宋体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三、设备管理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宋体" w:hAnsi="宋体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提供：设备管理制度及生产设备台账，编制了设备管理制度和生产设备台账，对主要耗能设备进行识别，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主要耗能设备</w:t>
            </w:r>
          </w:p>
          <w:p>
            <w:pPr>
              <w:pStyle w:val="3"/>
              <w:numPr>
                <w:ilvl w:val="0"/>
                <w:numId w:val="0"/>
              </w:numPr>
              <w:ind w:firstLine="630" w:firstLineChars="300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还原炉、四管炉、氢气回收装置等</w:t>
            </w:r>
          </w:p>
          <w:p>
            <w:pPr>
              <w:pStyle w:val="3"/>
              <w:rPr>
                <w:rFonts w:hint="eastAsia" w:ascii="宋体" w:hAnsi="宋体" w:eastAsia="宋体" w:cs="Times New Roman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2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能源计量管理：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提供：测量设备管理台账见下图</w:t>
            </w:r>
          </w:p>
          <w:tbl>
            <w:tblPr>
              <w:tblStyle w:val="10"/>
              <w:tblW w:w="91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2"/>
              <w:gridCol w:w="1517"/>
              <w:gridCol w:w="719"/>
              <w:gridCol w:w="722"/>
              <w:gridCol w:w="719"/>
              <w:gridCol w:w="719"/>
              <w:gridCol w:w="719"/>
              <w:gridCol w:w="719"/>
              <w:gridCol w:w="719"/>
              <w:gridCol w:w="721"/>
              <w:gridCol w:w="7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30" w:hRule="atLeast"/>
                <w:tblHeader/>
              </w:trPr>
              <w:tc>
                <w:tcPr>
                  <w:tcW w:w="113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分级、分项</w:t>
                  </w:r>
                </w:p>
              </w:tc>
              <w:tc>
                <w:tcPr>
                  <w:tcW w:w="151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级或项的名称</w:t>
                  </w:r>
                </w:p>
              </w:tc>
              <w:tc>
                <w:tcPr>
                  <w:tcW w:w="6478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配备的计量器具类别及数量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30" w:hRule="atLeast"/>
                <w:tblHeader/>
              </w:trPr>
              <w:tc>
                <w:tcPr>
                  <w:tcW w:w="113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电能表</w:t>
                  </w:r>
                </w:p>
              </w:tc>
              <w:tc>
                <w:tcPr>
                  <w:tcW w:w="215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气体流量表(装置)</w:t>
                  </w:r>
                </w:p>
              </w:tc>
              <w:tc>
                <w:tcPr>
                  <w:tcW w:w="216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水流量表</w:t>
                  </w:r>
                </w:p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(装置)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50" w:hRule="atLeast"/>
                <w:tblHeader/>
              </w:trPr>
              <w:tc>
                <w:tcPr>
                  <w:tcW w:w="113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应配</w:t>
                  </w:r>
                </w:p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数量（台）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实配数量（台）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配备率</w:t>
                  </w:r>
                </w:p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（%）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应配</w:t>
                  </w:r>
                </w:p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数量（台）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实配数量（台）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配备率</w:t>
                  </w:r>
                </w:p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（%）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应配</w:t>
                  </w:r>
                </w:p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数量（台）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实配数量（台）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配备率</w:t>
                  </w:r>
                </w:p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int="eastAsia"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（%）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8" w:hRule="atLeast"/>
                <w:tblHeader/>
              </w:trPr>
              <w:tc>
                <w:tcPr>
                  <w:tcW w:w="1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进出用能单位</w:t>
                  </w:r>
                </w:p>
              </w:tc>
              <w:tc>
                <w:tcPr>
                  <w:tcW w:w="15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成都虹波实业股份有限公司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9" w:hRule="atLeast"/>
              </w:trPr>
              <w:tc>
                <w:tcPr>
                  <w:tcW w:w="113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进出主要次级用能单位</w:t>
                  </w:r>
                </w:p>
              </w:tc>
              <w:tc>
                <w:tcPr>
                  <w:tcW w:w="15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sz w:val="20"/>
                      <w:szCs w:val="20"/>
                    </w:rPr>
                    <w:t>1 钼粉制造部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9" w:hRule="atLeast"/>
              </w:trPr>
              <w:tc>
                <w:tcPr>
                  <w:tcW w:w="113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sz w:val="20"/>
                      <w:szCs w:val="20"/>
                    </w:rPr>
                    <w:t>2丝材部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 w:val="0"/>
                    <w:spacing w:after="0"/>
                    <w:jc w:val="center"/>
                    <w:rPr>
                      <w:rFonts w:ascii="Times New Roman" w:hAnsi="Times New Roman" w:eastAsia="宋体"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9" w:hRule="atLeast"/>
              </w:trPr>
              <w:tc>
                <w:tcPr>
                  <w:tcW w:w="113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3 制品制造部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9" w:hRule="atLeast"/>
              </w:trPr>
              <w:tc>
                <w:tcPr>
                  <w:tcW w:w="113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4 军品生产部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9" w:hRule="atLeast"/>
              </w:trPr>
              <w:tc>
                <w:tcPr>
                  <w:tcW w:w="113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5 设备动力部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9" w:hRule="atLeast"/>
              </w:trPr>
              <w:tc>
                <w:tcPr>
                  <w:tcW w:w="113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合计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9" w:hRule="atLeast"/>
              </w:trPr>
              <w:tc>
                <w:tcPr>
                  <w:tcW w:w="113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主要用能设备</w:t>
                  </w:r>
                </w:p>
              </w:tc>
              <w:tc>
                <w:tcPr>
                  <w:tcW w:w="15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1钼粉制造部十五管炉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9" w:hRule="atLeast"/>
              </w:trPr>
              <w:tc>
                <w:tcPr>
                  <w:tcW w:w="113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eastAsia="宋体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rPr>
                      <w:rFonts w:hAnsi="宋体"/>
                      <w:sz w:val="20"/>
                    </w:rPr>
                  </w:pPr>
                  <w:r>
                    <w:rPr>
                      <w:rFonts w:hint="eastAsia" w:hAnsi="宋体"/>
                      <w:sz w:val="20"/>
                    </w:rPr>
                    <w:t>2制品制造部中频炉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6</w:t>
                  </w:r>
                </w:p>
              </w:tc>
              <w:tc>
                <w:tcPr>
                  <w:tcW w:w="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6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  <w:tc>
                <w:tcPr>
                  <w:tcW w:w="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</w:tc>
            </w:tr>
          </w:tbl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4"/>
              <w:spacing w:before="0" w:after="0" w:line="4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pStyle w:val="4"/>
              <w:spacing w:before="0" w:after="0" w:line="4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五、淘汰能耗落后工艺、设备概况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按照国家政策法规文件识别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成都联虹钼业有限公司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无相关能耗落后的工艺，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也无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淘汰落后设备。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能源绩效</w:t>
            </w:r>
          </w:p>
          <w:p>
            <w:pPr>
              <w:spacing w:before="120" w:beforeLines="50"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2019年公司生产能源消耗实际情况：</w:t>
            </w:r>
          </w:p>
          <w:tbl>
            <w:tblPr>
              <w:tblStyle w:val="10"/>
              <w:tblW w:w="5200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2019年公司生产能源消耗实际情况：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2019年综合能耗为：856157.74kgce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2019年总产量为：1707206.65kg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单位产品能耗为：0.5kgce/kg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pStyle w:val="2"/>
                    <w:ind w:firstLine="24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2020年公司生产能源消耗实际情况：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2020年综合能耗为：1891666.88kgce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2020年总产量为：2124354.09kg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单位产品能耗为：0.89kgce/kg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pStyle w:val="2"/>
                    <w:ind w:firstLine="24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2021年1月-8月用能情况如下：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2021年1月-8月综合能耗为：1464620.21kgce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2021年1月-8月总产量为：1703664.83kg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单位产品能耗为：0.86kgce/kg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七、现场巡视情况：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现场查看生产控制和设备运行情况，部分生产设备正在运行现场生产秩序良好，未发现跑冒滴漏现象；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现场计量设备有计量确认合格证。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800350" cy="1725930"/>
                  <wp:effectExtent l="0" t="0" r="6350" b="1270"/>
                  <wp:docPr id="52" name="图片 52" descr="e98ad7160667d0cd66ea2b139800d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e98ad7160667d0cd66ea2b139800d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72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472690" cy="1723390"/>
                  <wp:effectExtent l="0" t="0" r="3810" b="3810"/>
                  <wp:docPr id="53" name="图片 53" descr="454ca2bf0f1ef4407ea9c4819da9a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454ca2bf0f1ef4407ea9c4819da9a5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690" cy="17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940685" cy="1992630"/>
                  <wp:effectExtent l="0" t="0" r="5715" b="1270"/>
                  <wp:docPr id="54" name="图片 54" descr="f1502d995473d40f9717903bd070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f1502d995473d40f9717903bd070ed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199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 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871470" cy="2011680"/>
                  <wp:effectExtent l="0" t="0" r="11430" b="7620"/>
                  <wp:docPr id="55" name="图片 55" descr="db8389f569a4fcf61e306939e8c86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db8389f569a4fcf61e306939e8c86c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4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371090" cy="1778000"/>
                  <wp:effectExtent l="0" t="0" r="3810" b="0"/>
                  <wp:docPr id="56" name="图片 56" descr="573c85420b7f404ee4b3f1c998fa6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573c85420b7f404ee4b3f1c998fa69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383790" cy="1788160"/>
                  <wp:effectExtent l="0" t="0" r="3810" b="2540"/>
                  <wp:docPr id="57" name="图片 57" descr="e16f2787f065d2ba01dd26ed3c556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e16f2787f065d2ba01dd26ed3c556d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78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135505" cy="2847340"/>
                  <wp:effectExtent l="0" t="0" r="10795" b="10160"/>
                  <wp:docPr id="58" name="图片 58" descr="9a0bc545372c2d1d20d42ffc556e5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9a0bc545372c2d1d20d42ffc556e57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05" cy="284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111375" cy="2814955"/>
                  <wp:effectExtent l="0" t="0" r="9525" b="4445"/>
                  <wp:docPr id="59" name="图片 59" descr="03f5079ead581e10841afe0ff95a4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03f5079ead581e10841afe0ff95a4c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281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生产控制及设备运行情况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抽查《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气流分数机作业指导书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》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、《焙烧作业指导书作业指导书》、《一次还原作业指导书》、《掺杂作业指导书》、《合批作业指导书》、《1#还原炉作业指导书》、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《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十五管还原炉作业指导书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》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、《过筛、合批作业指导书》、《包装作业指导书》、《气流分散机作业指导书》、《粉末粉碎作业指导书》、《过滤机作业指导书》、《循环水作业指导书》、《氮气气体分析仪作业指导书》、《氢分析器作业指导书》、《硅酸钾溶液和硝酸铝溶液配制作业指导书》、《重过筛作业指导书》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规定了操作标准，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现场查看操作规程情况：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ind w:left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提供《作业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记录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》，平时的操作能够按照标准进行操作。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139565" cy="2849245"/>
                  <wp:effectExtent l="0" t="0" r="635" b="8255"/>
                  <wp:docPr id="4" name="图片 4" descr="16312584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31258415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9565" cy="284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  （备注：因涉密，有些数据不能公示）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设备维护保养的情况：</w:t>
            </w:r>
          </w:p>
          <w:p>
            <w:pPr>
              <w:tabs>
                <w:tab w:val="left" w:pos="1660"/>
                <w:tab w:val="center" w:pos="7286"/>
              </w:tabs>
              <w:spacing w:line="400" w:lineRule="exact"/>
              <w:jc w:val="both"/>
              <w:textAlignment w:val="baseline"/>
              <w:rPr>
                <w:rFonts w:hint="eastAsia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提供《设备维护保养规程》和《设备保养计划》并提供《设备维护保养检查表》、《设备检查表》如下图：</w:t>
            </w:r>
          </w:p>
          <w:p>
            <w:pPr>
              <w:tabs>
                <w:tab w:val="left" w:pos="1660"/>
                <w:tab w:val="center" w:pos="7286"/>
              </w:tabs>
              <w:spacing w:line="400" w:lineRule="exact"/>
              <w:jc w:val="both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248285</wp:posOffset>
                  </wp:positionV>
                  <wp:extent cx="3810000" cy="4147820"/>
                  <wp:effectExtent l="0" t="0" r="0" b="5080"/>
                  <wp:wrapSquare wrapText="bothSides"/>
                  <wp:docPr id="5" name="图片 5" descr="44bba781f69502174414586ddcb64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4bba781f69502174414586ddcb649a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414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</w:tc>
        <w:tc>
          <w:tcPr>
            <w:tcW w:w="884" w:type="dxa"/>
          </w:tcPr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1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不符合纠正/持续改进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En10.1/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10.2</w:t>
            </w:r>
          </w:p>
        </w:tc>
        <w:tc>
          <w:tcPr>
            <w:tcW w:w="10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Times New Roman" w:hAnsi="Times New Roman" w:eastAsia="宋体" w:cs="Times New Roman"/>
                <w:color w:val="0000FF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FF"/>
                <w:szCs w:val="22"/>
                <w:lang w:val="en-US" w:eastAsia="zh-CN"/>
              </w:rPr>
              <w:t>经检查发现，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有上述指标来看，2020年，单位产品能耗已经高于目标值，需要进行原因分析，并制定节能措施。</w:t>
            </w:r>
            <w:r>
              <w:rPr>
                <w:rFonts w:hint="eastAsia" w:cs="Times New Roman"/>
                <w:color w:val="0000FF"/>
                <w:szCs w:val="2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内审不符合项：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内部审核发现1个不符合项，已经整改完毕，并制定了纠正措施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现场验证：纠正措施有效。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884" w:type="dxa"/>
          </w:tcPr>
          <w:p/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</w:tr>
    </w:tbl>
    <w:p>
      <w:pPr>
        <w:pStyle w:val="2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/>
    <w:p>
      <w:pPr>
        <w:pStyle w:val="7"/>
      </w:pPr>
    </w:p>
    <w:p>
      <w:pPr>
        <w:pStyle w:val="7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8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8C1E2"/>
    <w:multiLevelType w:val="singleLevel"/>
    <w:tmpl w:val="8CF8C1E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FCE0DA"/>
    <w:multiLevelType w:val="singleLevel"/>
    <w:tmpl w:val="05FCE0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D91676"/>
    <w:multiLevelType w:val="singleLevel"/>
    <w:tmpl w:val="23D9167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87C4961"/>
    <w:multiLevelType w:val="singleLevel"/>
    <w:tmpl w:val="387C49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B9D544A"/>
    <w:multiLevelType w:val="multilevel"/>
    <w:tmpl w:val="5B9D544A"/>
    <w:lvl w:ilvl="0" w:tentative="0">
      <w:start w:val="1"/>
      <w:numFmt w:val="decimal"/>
      <w:lvlText w:val="1.%1"/>
      <w:lvlJc w:val="left"/>
      <w:pPr>
        <w:tabs>
          <w:tab w:val="left" w:pos="510"/>
        </w:tabs>
        <w:ind w:left="510" w:hanging="51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536930"/>
    <w:rsid w:val="00564E53"/>
    <w:rsid w:val="005D5659"/>
    <w:rsid w:val="00600C20"/>
    <w:rsid w:val="00644FE2"/>
    <w:rsid w:val="0067640C"/>
    <w:rsid w:val="006E678B"/>
    <w:rsid w:val="007757F3"/>
    <w:rsid w:val="007C1B48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4824166"/>
    <w:rsid w:val="051D0270"/>
    <w:rsid w:val="0B4D08ED"/>
    <w:rsid w:val="0D502897"/>
    <w:rsid w:val="0DCB11CE"/>
    <w:rsid w:val="0E9D36FE"/>
    <w:rsid w:val="0EC22237"/>
    <w:rsid w:val="10024BD4"/>
    <w:rsid w:val="108219C2"/>
    <w:rsid w:val="10C72724"/>
    <w:rsid w:val="153F1A43"/>
    <w:rsid w:val="161E298F"/>
    <w:rsid w:val="18E0378C"/>
    <w:rsid w:val="1B635529"/>
    <w:rsid w:val="1D2F1751"/>
    <w:rsid w:val="1E045156"/>
    <w:rsid w:val="1E92443A"/>
    <w:rsid w:val="1F303612"/>
    <w:rsid w:val="22F3151F"/>
    <w:rsid w:val="23F57CAA"/>
    <w:rsid w:val="25302F06"/>
    <w:rsid w:val="25726879"/>
    <w:rsid w:val="265042EE"/>
    <w:rsid w:val="29550A82"/>
    <w:rsid w:val="2B882F6D"/>
    <w:rsid w:val="2C615A70"/>
    <w:rsid w:val="2CB52A35"/>
    <w:rsid w:val="2D5D32D6"/>
    <w:rsid w:val="2FDA7696"/>
    <w:rsid w:val="3414352C"/>
    <w:rsid w:val="366F12A2"/>
    <w:rsid w:val="37022033"/>
    <w:rsid w:val="38F903D7"/>
    <w:rsid w:val="397A1146"/>
    <w:rsid w:val="3E500208"/>
    <w:rsid w:val="3FD87230"/>
    <w:rsid w:val="435D7392"/>
    <w:rsid w:val="451658FE"/>
    <w:rsid w:val="48EE64E2"/>
    <w:rsid w:val="49907112"/>
    <w:rsid w:val="4A176EE1"/>
    <w:rsid w:val="5062731F"/>
    <w:rsid w:val="51B355DC"/>
    <w:rsid w:val="51CB0431"/>
    <w:rsid w:val="56686FBC"/>
    <w:rsid w:val="56955064"/>
    <w:rsid w:val="5DD945F3"/>
    <w:rsid w:val="5EA12B9A"/>
    <w:rsid w:val="60A703C5"/>
    <w:rsid w:val="665253F3"/>
    <w:rsid w:val="66791D6C"/>
    <w:rsid w:val="66957D31"/>
    <w:rsid w:val="6A6577F2"/>
    <w:rsid w:val="6A997D30"/>
    <w:rsid w:val="6B317C7C"/>
    <w:rsid w:val="6B651E3A"/>
    <w:rsid w:val="6C3312C7"/>
    <w:rsid w:val="70F503F3"/>
    <w:rsid w:val="75532C29"/>
    <w:rsid w:val="76705E2D"/>
    <w:rsid w:val="788C0C63"/>
    <w:rsid w:val="790565FF"/>
    <w:rsid w:val="7AEC0F33"/>
    <w:rsid w:val="7CDA1273"/>
    <w:rsid w:val="7FB21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5">
    <w:name w:val="Plain Text"/>
    <w:basedOn w:val="1"/>
    <w:unhideWhenUsed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pn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2021-09-14T14:44:34Z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A2A87B4AA3C04090A0C757B97B7400CA</vt:lpwstr>
  </property>
</Properties>
</file>