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97"/>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97"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质量管理部</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 xml:space="preserve">王劲松 </w:t>
            </w:r>
            <w:r>
              <w:rPr>
                <w:sz w:val="24"/>
                <w:szCs w:val="24"/>
              </w:rPr>
              <w:t xml:space="preserve">       </w:t>
            </w:r>
            <w:r>
              <w:rPr>
                <w:rFonts w:hint="eastAsia"/>
                <w:sz w:val="24"/>
                <w:szCs w:val="24"/>
              </w:rPr>
              <w:t>陪同人员：</w:t>
            </w:r>
            <w:r>
              <w:rPr>
                <w:rFonts w:hint="eastAsia"/>
                <w:sz w:val="24"/>
                <w:szCs w:val="24"/>
                <w:lang w:val="en-US" w:eastAsia="zh-CN"/>
              </w:rPr>
              <w:t>黄超</w:t>
            </w:r>
          </w:p>
        </w:tc>
        <w:tc>
          <w:tcPr>
            <w:tcW w:w="79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9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周涛、  </w:t>
            </w:r>
            <w:r>
              <w:rPr>
                <w:sz w:val="24"/>
                <w:szCs w:val="24"/>
              </w:rPr>
              <w:t xml:space="preserve">         </w:t>
            </w:r>
            <w:r>
              <w:rPr>
                <w:rFonts w:hint="eastAsia"/>
                <w:sz w:val="24"/>
                <w:szCs w:val="24"/>
              </w:rPr>
              <w:t>审核时间：</w:t>
            </w:r>
            <w:r>
              <w:rPr>
                <w:rFonts w:hint="eastAsia"/>
                <w:sz w:val="24"/>
                <w:szCs w:val="24"/>
                <w:lang w:val="en-US" w:eastAsia="zh-CN"/>
              </w:rPr>
              <w:t>2021.</w:t>
            </w:r>
            <w:r>
              <w:rPr>
                <w:rFonts w:hint="eastAsia"/>
                <w:sz w:val="24"/>
                <w:szCs w:val="24"/>
                <w:highlight w:val="none"/>
                <w:lang w:val="en-US" w:eastAsia="zh-CN"/>
              </w:rPr>
              <w:t>9.6</w:t>
            </w:r>
          </w:p>
        </w:tc>
        <w:tc>
          <w:tcPr>
            <w:tcW w:w="79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97" w:type="dxa"/>
            <w:vAlign w:val="center"/>
          </w:tcPr>
          <w:p>
            <w:pPr>
              <w:rPr>
                <w:rFonts w:hint="default"/>
                <w:sz w:val="24"/>
                <w:szCs w:val="24"/>
                <w:lang w:val="en-US"/>
              </w:rPr>
            </w:pPr>
            <w:r>
              <w:rPr>
                <w:rFonts w:hint="eastAsia"/>
                <w:sz w:val="24"/>
                <w:szCs w:val="24"/>
              </w:rPr>
              <w:t>审核条款：</w:t>
            </w:r>
            <w:r>
              <w:t>E</w:t>
            </w:r>
            <w:r>
              <w:rPr>
                <w:rFonts w:hint="eastAsia"/>
              </w:rPr>
              <w:t>n:</w:t>
            </w:r>
            <w:r>
              <w:t xml:space="preserve"> </w:t>
            </w:r>
            <w:r>
              <w:rPr>
                <w:rFonts w:hint="eastAsia"/>
                <w:szCs w:val="21"/>
              </w:rPr>
              <w:t>5</w:t>
            </w:r>
            <w:r>
              <w:rPr>
                <w:szCs w:val="21"/>
              </w:rPr>
              <w:t>.3</w:t>
            </w:r>
            <w:r>
              <w:rPr>
                <w:rFonts w:hint="eastAsia"/>
                <w:szCs w:val="21"/>
              </w:rPr>
              <w:t>；6</w:t>
            </w:r>
            <w:r>
              <w:rPr>
                <w:szCs w:val="21"/>
              </w:rPr>
              <w:t>.2</w:t>
            </w:r>
            <w:r>
              <w:rPr>
                <w:rFonts w:hint="eastAsia"/>
                <w:szCs w:val="21"/>
              </w:rPr>
              <w:t>；7</w:t>
            </w:r>
            <w:r>
              <w:rPr>
                <w:szCs w:val="21"/>
              </w:rPr>
              <w:t>.4</w:t>
            </w:r>
            <w:r>
              <w:rPr>
                <w:rFonts w:hint="eastAsia"/>
                <w:szCs w:val="21"/>
              </w:rPr>
              <w:t>；7</w:t>
            </w:r>
            <w:r>
              <w:rPr>
                <w:szCs w:val="21"/>
              </w:rPr>
              <w:t>.5</w:t>
            </w:r>
            <w:r>
              <w:rPr>
                <w:rFonts w:hint="eastAsia"/>
                <w:szCs w:val="21"/>
              </w:rPr>
              <w:t>；9</w:t>
            </w:r>
            <w:r>
              <w:rPr>
                <w:szCs w:val="21"/>
              </w:rPr>
              <w:t>.1.2</w:t>
            </w:r>
            <w:r>
              <w:rPr>
                <w:rFonts w:hint="eastAsia"/>
                <w:szCs w:val="21"/>
              </w:rPr>
              <w:t>；9</w:t>
            </w:r>
            <w:r>
              <w:rPr>
                <w:szCs w:val="21"/>
              </w:rPr>
              <w:t>.2</w:t>
            </w:r>
            <w:r>
              <w:rPr>
                <w:rFonts w:hint="eastAsia"/>
                <w:szCs w:val="21"/>
              </w:rPr>
              <w:t>；1</w:t>
            </w:r>
            <w:r>
              <w:rPr>
                <w:szCs w:val="21"/>
              </w:rPr>
              <w:t>0.1</w:t>
            </w:r>
            <w:r>
              <w:rPr>
                <w:rFonts w:hint="eastAsia"/>
                <w:szCs w:val="21"/>
              </w:rPr>
              <w:t>；1</w:t>
            </w:r>
            <w:r>
              <w:rPr>
                <w:szCs w:val="21"/>
              </w:rPr>
              <w:t>0.2</w:t>
            </w:r>
          </w:p>
        </w:tc>
        <w:tc>
          <w:tcPr>
            <w:tcW w:w="79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eastAsia="宋体"/>
                <w:lang w:val="en-US" w:eastAsia="zh-CN"/>
              </w:rPr>
            </w:pPr>
            <w:r>
              <w:rPr>
                <w:rFonts w:hint="eastAsia" w:ascii="宋体" w:hAnsi="宋体"/>
                <w:szCs w:val="21"/>
              </w:rPr>
              <w:t>组织的岗位、</w:t>
            </w:r>
            <w:r>
              <w:rPr>
                <w:rFonts w:hint="eastAsia"/>
                <w:lang w:val="en-US" w:eastAsia="zh-CN"/>
              </w:rPr>
              <w:t>职责权限</w:t>
            </w:r>
          </w:p>
        </w:tc>
        <w:tc>
          <w:tcPr>
            <w:tcW w:w="960" w:type="dxa"/>
          </w:tcPr>
          <w:p>
            <w:pPr>
              <w:rPr>
                <w:rFonts w:hint="default" w:eastAsia="宋体"/>
                <w:lang w:val="en-US" w:eastAsia="zh-CN"/>
              </w:rPr>
            </w:pPr>
            <w:r>
              <w:rPr>
                <w:rFonts w:hint="eastAsia"/>
                <w:lang w:val="en-US" w:eastAsia="zh-CN"/>
              </w:rPr>
              <w:t>En5.3</w:t>
            </w:r>
          </w:p>
        </w:tc>
        <w:tc>
          <w:tcPr>
            <w:tcW w:w="10797" w:type="dxa"/>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cs="Times New Roman"/>
                <w:kern w:val="2"/>
                <w:sz w:val="20"/>
                <w:szCs w:val="22"/>
                <w:lang w:val="en-US" w:eastAsia="zh-CN" w:bidi="ar-SA"/>
              </w:rPr>
              <w:t>质量管理部职责：</w:t>
            </w:r>
            <w:r>
              <w:rPr>
                <w:rFonts w:hint="eastAsia" w:cs="宋体"/>
              </w:rPr>
              <w:t>为了实现公司整体战略目标，依据公司提升质量管理水平的要求，在</w:t>
            </w:r>
            <w:r>
              <w:rPr>
                <w:rFonts w:hint="eastAsia"/>
                <w:bCs/>
                <w:szCs w:val="21"/>
              </w:rPr>
              <w:t>副总经理/总经理助理</w:t>
            </w:r>
            <w:r>
              <w:rPr>
                <w:rFonts w:hint="eastAsia" w:cs="宋体"/>
              </w:rPr>
              <w:t>的领导下，承担公司管理体系建设、产品检验、质量监控、品质管理、技术管理、档案管理等工作，确保产品质量持续稳定提升。</w:t>
            </w:r>
          </w:p>
          <w:p>
            <w:pPr>
              <w:numPr>
                <w:ilvl w:val="0"/>
                <w:numId w:val="0"/>
              </w:numPr>
              <w:ind w:leftChars="0"/>
              <w:rPr>
                <w:szCs w:val="21"/>
              </w:rPr>
            </w:pPr>
            <w:r>
              <w:rPr>
                <w:rFonts w:hint="eastAsia"/>
                <w:szCs w:val="21"/>
                <w:lang w:val="en-US" w:eastAsia="zh-CN"/>
              </w:rPr>
              <w:t>1、</w:t>
            </w:r>
            <w:r>
              <w:rPr>
                <w:rFonts w:hint="eastAsia"/>
                <w:szCs w:val="21"/>
              </w:rPr>
              <w:t>建立和完善公司管理质量体系，指导、协助相关部门开展工作，确保管理体系在公司持续有效运行。</w:t>
            </w:r>
          </w:p>
          <w:p>
            <w:pPr>
              <w:numPr>
                <w:ilvl w:val="0"/>
                <w:numId w:val="0"/>
              </w:numPr>
              <w:ind w:leftChars="0"/>
              <w:rPr>
                <w:szCs w:val="21"/>
              </w:rPr>
            </w:pPr>
            <w:r>
              <w:rPr>
                <w:rFonts w:hint="eastAsia"/>
                <w:szCs w:val="21"/>
                <w:lang w:val="en-US" w:eastAsia="zh-CN"/>
              </w:rPr>
              <w:t>2、</w:t>
            </w:r>
            <w:r>
              <w:rPr>
                <w:rFonts w:hint="eastAsia"/>
                <w:szCs w:val="21"/>
              </w:rPr>
              <w:t>起草、制订公司年度质量目标，提出指标分解建议，并对实施情况进行跟踪、分析和效果确认。</w:t>
            </w:r>
          </w:p>
          <w:p>
            <w:pPr>
              <w:numPr>
                <w:ilvl w:val="0"/>
                <w:numId w:val="0"/>
              </w:numPr>
              <w:ind w:leftChars="0"/>
              <w:rPr>
                <w:szCs w:val="21"/>
              </w:rPr>
            </w:pPr>
            <w:r>
              <w:rPr>
                <w:rFonts w:hint="eastAsia"/>
                <w:szCs w:val="21"/>
                <w:lang w:val="en-US" w:eastAsia="zh-CN"/>
              </w:rPr>
              <w:t>3、</w:t>
            </w:r>
            <w:r>
              <w:rPr>
                <w:rFonts w:hint="eastAsia"/>
                <w:szCs w:val="21"/>
              </w:rPr>
              <w:t>组织质量改善相关项目的实施。</w:t>
            </w:r>
          </w:p>
          <w:p>
            <w:pPr>
              <w:numPr>
                <w:ilvl w:val="0"/>
                <w:numId w:val="0"/>
              </w:numPr>
              <w:ind w:leftChars="0"/>
              <w:rPr>
                <w:szCs w:val="21"/>
              </w:rPr>
            </w:pPr>
            <w:r>
              <w:rPr>
                <w:rFonts w:hint="eastAsia"/>
                <w:szCs w:val="21"/>
                <w:lang w:val="en-US" w:eastAsia="zh-CN"/>
              </w:rPr>
              <w:t>4、</w:t>
            </w:r>
            <w:r>
              <w:rPr>
                <w:rFonts w:hint="eastAsia"/>
                <w:szCs w:val="21"/>
              </w:rPr>
              <w:t>根据管理体系标准，及时修订《管理手册》、《程序文件》。</w:t>
            </w:r>
          </w:p>
          <w:p>
            <w:pPr>
              <w:numPr>
                <w:ilvl w:val="0"/>
                <w:numId w:val="0"/>
              </w:numPr>
              <w:ind w:leftChars="0"/>
              <w:rPr>
                <w:szCs w:val="21"/>
              </w:rPr>
            </w:pPr>
            <w:r>
              <w:rPr>
                <w:rFonts w:hint="eastAsia"/>
                <w:szCs w:val="21"/>
                <w:lang w:val="en-US" w:eastAsia="zh-CN"/>
              </w:rPr>
              <w:t>5、</w:t>
            </w:r>
            <w:r>
              <w:rPr>
                <w:rFonts w:hint="eastAsia"/>
                <w:szCs w:val="21"/>
              </w:rPr>
              <w:t>拟定审核计划，组织公司体系的内部审核工作，并撰写内部审核报告。</w:t>
            </w:r>
          </w:p>
          <w:p>
            <w:pPr>
              <w:numPr>
                <w:ilvl w:val="0"/>
                <w:numId w:val="0"/>
              </w:numPr>
              <w:ind w:leftChars="0"/>
              <w:rPr>
                <w:szCs w:val="21"/>
              </w:rPr>
            </w:pPr>
            <w:r>
              <w:rPr>
                <w:rFonts w:hint="eastAsia"/>
                <w:szCs w:val="21"/>
                <w:lang w:val="en-US" w:eastAsia="zh-CN"/>
              </w:rPr>
              <w:t>6、</w:t>
            </w:r>
            <w:r>
              <w:rPr>
                <w:rFonts w:hint="eastAsia"/>
                <w:szCs w:val="21"/>
              </w:rPr>
              <w:t>组织建立、完善公司计量管理制度，并贯彻落实。</w:t>
            </w:r>
          </w:p>
          <w:p>
            <w:pPr>
              <w:numPr>
                <w:ilvl w:val="0"/>
                <w:numId w:val="0"/>
              </w:numPr>
              <w:ind w:leftChars="0"/>
              <w:rPr>
                <w:szCs w:val="21"/>
              </w:rPr>
            </w:pPr>
            <w:r>
              <w:rPr>
                <w:rFonts w:hint="eastAsia"/>
                <w:szCs w:val="21"/>
                <w:lang w:val="en-US" w:eastAsia="zh-CN"/>
              </w:rPr>
              <w:t>7、</w:t>
            </w:r>
            <w:r>
              <w:rPr>
                <w:rFonts w:hint="eastAsia"/>
                <w:szCs w:val="21"/>
              </w:rPr>
              <w:t>根据公司战略要求组织制定计量管理计划，承担计量器具的定期校准自检和送外检定工作。</w:t>
            </w:r>
          </w:p>
          <w:p>
            <w:pPr>
              <w:numPr>
                <w:ilvl w:val="0"/>
                <w:numId w:val="0"/>
              </w:numPr>
              <w:ind w:leftChars="0"/>
              <w:rPr>
                <w:szCs w:val="21"/>
              </w:rPr>
            </w:pPr>
            <w:r>
              <w:rPr>
                <w:rFonts w:hint="eastAsia"/>
                <w:szCs w:val="21"/>
                <w:lang w:val="en-US" w:eastAsia="zh-CN"/>
              </w:rPr>
              <w:t>8、</w:t>
            </w:r>
            <w:r>
              <w:rPr>
                <w:rFonts w:hint="eastAsia"/>
                <w:szCs w:val="21"/>
              </w:rPr>
              <w:t>开展计量器具日常检查、检修工作，解决检修遇到的各种问题。</w:t>
            </w:r>
          </w:p>
          <w:p>
            <w:pPr>
              <w:numPr>
                <w:ilvl w:val="0"/>
                <w:numId w:val="0"/>
              </w:numPr>
              <w:ind w:leftChars="0"/>
              <w:rPr>
                <w:szCs w:val="21"/>
              </w:rPr>
            </w:pPr>
            <w:r>
              <w:rPr>
                <w:rFonts w:hint="eastAsia"/>
                <w:szCs w:val="21"/>
                <w:lang w:val="en-US" w:eastAsia="zh-CN"/>
              </w:rPr>
              <w:t>9、</w:t>
            </w:r>
            <w:r>
              <w:rPr>
                <w:rFonts w:hint="eastAsia"/>
                <w:szCs w:val="21"/>
              </w:rPr>
              <w:t>承担计量器具技改项目实施，及计量器具的申购、选型、验收与管理工作，协调技改项目中的外协工作。</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经理对职责基本明确清晰。</w:t>
            </w:r>
          </w:p>
        </w:tc>
        <w:tc>
          <w:tcPr>
            <w:tcW w:w="792" w:type="dxa"/>
          </w:tcPr>
          <w:p/>
          <w:p>
            <w:pPr>
              <w:pStyle w:val="9"/>
            </w:pPr>
          </w:p>
          <w:p>
            <w:pPr>
              <w:pStyle w:val="9"/>
            </w:pPr>
          </w:p>
          <w:p>
            <w:pPr>
              <w:pStyle w:val="9"/>
            </w:pPr>
          </w:p>
          <w:p>
            <w:pPr>
              <w:pStyle w:val="9"/>
            </w:pPr>
          </w:p>
          <w:p>
            <w:pPr>
              <w:pStyle w:val="9"/>
            </w:pPr>
          </w:p>
          <w:p>
            <w:pPr>
              <w:pStyle w:val="9"/>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lang w:val="en-US" w:eastAsia="zh-CN"/>
              </w:rPr>
            </w:pPr>
            <w:r>
              <w:rPr>
                <w:rFonts w:hint="eastAsia"/>
                <w:lang w:val="en-US" w:eastAsia="zh-CN"/>
              </w:rPr>
              <w:t>能源目标\</w:t>
            </w:r>
            <w:r>
              <w:rPr>
                <w:rFonts w:hint="eastAsia" w:ascii="宋体" w:hAnsi="宋体"/>
                <w:szCs w:val="21"/>
              </w:rPr>
              <w:t>能源指及其实现的策划</w:t>
            </w:r>
          </w:p>
        </w:tc>
        <w:tc>
          <w:tcPr>
            <w:tcW w:w="960" w:type="dxa"/>
          </w:tcPr>
          <w:p>
            <w:pPr>
              <w:rPr>
                <w:rFonts w:hint="default"/>
                <w:lang w:val="en-US" w:eastAsia="zh-CN"/>
              </w:rPr>
            </w:pPr>
            <w:r>
              <w:rPr>
                <w:rFonts w:hint="eastAsia"/>
                <w:lang w:val="en-US" w:eastAsia="zh-CN"/>
              </w:rPr>
              <w:t>En6.2</w:t>
            </w:r>
          </w:p>
        </w:tc>
        <w:tc>
          <w:tcPr>
            <w:tcW w:w="10797" w:type="dxa"/>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lang w:val="en-US" w:eastAsia="zh-CN"/>
              </w:rPr>
            </w:pPr>
            <w:r>
              <w:rPr>
                <w:rFonts w:hint="eastAsia"/>
                <w:lang w:val="en-US" w:eastAsia="zh-CN"/>
              </w:rPr>
              <w:t>公司2020的能耗指标：单位产品能耗</w:t>
            </w:r>
            <w:r>
              <w:rPr>
                <w:rFonts w:hint="eastAsia" w:ascii="宋体" w:hAnsi="宋体" w:eastAsia="宋体" w:cs="宋体"/>
                <w:lang w:val="en-US" w:eastAsia="zh-CN"/>
              </w:rPr>
              <w:t>≦</w:t>
            </w: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48</w:t>
            </w:r>
            <w:r>
              <w:rPr>
                <w:rFonts w:hint="eastAsia" w:ascii="宋体" w:hAnsi="宋体" w:eastAsia="宋体" w:cs="宋体"/>
                <w:i w:val="0"/>
                <w:iCs w:val="0"/>
                <w:color w:val="auto"/>
                <w:kern w:val="0"/>
                <w:sz w:val="22"/>
                <w:szCs w:val="22"/>
                <w:u w:val="none"/>
                <w:lang w:val="en-US" w:eastAsia="zh-CN" w:bidi="ar"/>
              </w:rPr>
              <w:t>kgce/</w:t>
            </w:r>
            <w:r>
              <w:rPr>
                <w:rFonts w:hint="eastAsia" w:ascii="宋体" w:hAnsi="宋体" w:cs="宋体"/>
                <w:i w:val="0"/>
                <w:iCs w:val="0"/>
                <w:color w:val="auto"/>
                <w:kern w:val="0"/>
                <w:sz w:val="22"/>
                <w:szCs w:val="22"/>
                <w:u w:val="none"/>
                <w:lang w:val="en-US" w:eastAsia="zh-CN" w:bidi="ar"/>
              </w:rPr>
              <w:t>kg</w:t>
            </w:r>
            <w:r>
              <w:rPr>
                <w:rFonts w:hint="eastAsia"/>
                <w:lang w:val="en-US" w:eastAsia="zh-CN"/>
              </w:rPr>
              <w:t>。</w:t>
            </w:r>
          </w:p>
          <w:p>
            <w:pPr>
              <w:pStyle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2020年</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-12月份综合能耗为：</w:t>
            </w:r>
            <w:r>
              <w:rPr>
                <w:rFonts w:hint="eastAsia" w:ascii="宋体" w:hAnsi="宋体" w:cs="宋体"/>
                <w:i w:val="0"/>
                <w:iCs w:val="0"/>
                <w:color w:val="000000"/>
                <w:kern w:val="0"/>
                <w:sz w:val="22"/>
                <w:szCs w:val="22"/>
                <w:u w:val="none"/>
                <w:lang w:val="en-US" w:eastAsia="zh-CN" w:bidi="ar"/>
              </w:rPr>
              <w:t>1193560.8</w:t>
            </w:r>
            <w:r>
              <w:rPr>
                <w:rFonts w:hint="eastAsia" w:ascii="宋体" w:hAnsi="宋体" w:eastAsia="宋体" w:cs="宋体"/>
                <w:i w:val="0"/>
                <w:iCs w:val="0"/>
                <w:color w:val="000000"/>
                <w:kern w:val="0"/>
                <w:sz w:val="22"/>
                <w:szCs w:val="22"/>
                <w:u w:val="none"/>
                <w:lang w:val="en-US" w:eastAsia="zh-CN" w:bidi="ar"/>
              </w:rPr>
              <w:t>kgce</w:t>
            </w:r>
          </w:p>
          <w:p>
            <w:pPr>
              <w:pStyle w:val="9"/>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2020年1-12月份</w:t>
            </w:r>
            <w:r>
              <w:rPr>
                <w:rFonts w:hint="eastAsia" w:ascii="宋体" w:hAnsi="宋体" w:cs="宋体"/>
                <w:i w:val="0"/>
                <w:iCs w:val="0"/>
                <w:color w:val="000000"/>
                <w:kern w:val="0"/>
                <w:sz w:val="22"/>
                <w:szCs w:val="22"/>
                <w:u w:val="none"/>
                <w:lang w:val="en-US" w:eastAsia="zh-CN" w:bidi="ar"/>
              </w:rPr>
              <w:t>钼钨总产量为857283.769kg</w:t>
            </w:r>
          </w:p>
          <w:p>
            <w:pPr>
              <w:pStyle w:val="9"/>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2020年单位产品能耗为1.39</w:t>
            </w:r>
            <w:r>
              <w:rPr>
                <w:rFonts w:hint="eastAsia" w:ascii="宋体" w:hAnsi="宋体" w:eastAsia="宋体" w:cs="宋体"/>
                <w:i w:val="0"/>
                <w:iCs w:val="0"/>
                <w:color w:val="auto"/>
                <w:kern w:val="0"/>
                <w:sz w:val="22"/>
                <w:szCs w:val="22"/>
                <w:u w:val="none"/>
                <w:lang w:val="en-US" w:eastAsia="zh-CN" w:bidi="ar"/>
              </w:rPr>
              <w:t>kgce/</w:t>
            </w:r>
            <w:r>
              <w:rPr>
                <w:rFonts w:hint="eastAsia" w:ascii="宋体" w:hAnsi="宋体" w:cs="宋体"/>
                <w:i w:val="0"/>
                <w:iCs w:val="0"/>
                <w:color w:val="auto"/>
                <w:kern w:val="0"/>
                <w:sz w:val="22"/>
                <w:szCs w:val="22"/>
                <w:u w:val="none"/>
                <w:lang w:val="en-US" w:eastAsia="zh-CN" w:bidi="ar"/>
              </w:rPr>
              <w:t>kg</w:t>
            </w:r>
          </w:p>
          <w:p>
            <w:pPr>
              <w:pStyle w:val="9"/>
              <w:rPr>
                <w:rFonts w:hint="eastAsia" w:ascii="宋体" w:hAnsi="宋体" w:cs="宋体"/>
                <w:i w:val="0"/>
                <w:iCs w:val="0"/>
                <w:color w:val="000000"/>
                <w:kern w:val="0"/>
                <w:sz w:val="22"/>
                <w:szCs w:val="22"/>
                <w:u w:val="none"/>
                <w:lang w:val="en-US" w:eastAsia="zh-CN" w:bidi="ar"/>
              </w:rPr>
            </w:pPr>
          </w:p>
          <w:p>
            <w:pPr>
              <w:pStyle w:val="9"/>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以2020年的实际单耗为2021年的能源目标，即2021年的能源目标为：</w:t>
            </w:r>
            <w:r>
              <w:rPr>
                <w:rFonts w:hint="eastAsia" w:ascii="宋体" w:hAnsi="宋体" w:eastAsia="宋体" w:cs="宋体"/>
                <w:lang w:val="en-US" w:eastAsia="zh-CN"/>
              </w:rPr>
              <w:t>≦</w:t>
            </w: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39</w:t>
            </w:r>
            <w:r>
              <w:rPr>
                <w:rFonts w:hint="eastAsia" w:ascii="宋体" w:hAnsi="宋体" w:eastAsia="宋体" w:cs="宋体"/>
                <w:i w:val="0"/>
                <w:iCs w:val="0"/>
                <w:color w:val="auto"/>
                <w:kern w:val="0"/>
                <w:sz w:val="22"/>
                <w:szCs w:val="22"/>
                <w:u w:val="none"/>
                <w:lang w:val="en-US" w:eastAsia="zh-CN" w:bidi="ar"/>
              </w:rPr>
              <w:t>kgce/</w:t>
            </w:r>
            <w:r>
              <w:rPr>
                <w:rFonts w:hint="eastAsia" w:ascii="宋体" w:hAnsi="宋体" w:cs="宋体"/>
                <w:i w:val="0"/>
                <w:iCs w:val="0"/>
                <w:color w:val="auto"/>
                <w:kern w:val="0"/>
                <w:sz w:val="22"/>
                <w:szCs w:val="22"/>
                <w:u w:val="none"/>
                <w:lang w:val="en-US" w:eastAsia="zh-CN" w:bidi="ar"/>
              </w:rPr>
              <w:t>kg</w:t>
            </w:r>
          </w:p>
          <w:p>
            <w:pPr>
              <w:pStyle w:val="9"/>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2021年1-8月份综合能耗为：907874.13kgce</w:t>
            </w:r>
          </w:p>
          <w:p>
            <w:pPr>
              <w:pStyle w:val="9"/>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2021年1-8月份的钼钨产量为：531931.53kg</w:t>
            </w:r>
          </w:p>
          <w:p>
            <w:pPr>
              <w:pStyle w:val="9"/>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2021年1-8月份单位产品能耗为1.71kgce/kg。</w:t>
            </w:r>
          </w:p>
          <w:p>
            <w:pPr>
              <w:pStyle w:val="9"/>
              <w:ind w:left="0" w:leftChars="0" w:firstLine="0" w:firstLineChars="0"/>
              <w:rPr>
                <w:rFonts w:hint="default" w:cs="Times New Roman"/>
                <w:szCs w:val="22"/>
                <w:lang w:val="en-US" w:eastAsia="zh-CN"/>
              </w:rPr>
            </w:pPr>
            <w:r>
              <w:rPr>
                <w:rFonts w:hint="eastAsia" w:ascii="宋体" w:hAnsi="宋体" w:cs="宋体"/>
                <w:i w:val="0"/>
                <w:iCs w:val="0"/>
                <w:color w:val="0000FF"/>
                <w:kern w:val="0"/>
                <w:sz w:val="22"/>
                <w:szCs w:val="22"/>
                <w:u w:val="none"/>
                <w:lang w:val="en-US" w:eastAsia="zh-CN" w:bidi="ar"/>
              </w:rPr>
              <w:t>有上述指标来看，2021年1-8月份，单位产品能耗已经高于目标值，需要进行原因分析，并制定节能措施。</w:t>
            </w:r>
          </w:p>
        </w:tc>
        <w:tc>
          <w:tcPr>
            <w:tcW w:w="792" w:type="dxa"/>
          </w:tcPr>
          <w:p/>
          <w:p>
            <w:pPr>
              <w:pStyle w:val="9"/>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tcPr>
          <w:p>
            <w:pPr>
              <w:rPr>
                <w:rFonts w:hint="default"/>
                <w:lang w:val="en-US" w:eastAsia="zh-CN"/>
              </w:rPr>
            </w:pPr>
            <w:r>
              <w:rPr>
                <w:rFonts w:hint="eastAsia"/>
                <w:lang w:val="en-US" w:eastAsia="zh-CN"/>
              </w:rPr>
              <w:t>沟通交流</w:t>
            </w:r>
          </w:p>
        </w:tc>
        <w:tc>
          <w:tcPr>
            <w:tcW w:w="960" w:type="dxa"/>
          </w:tcPr>
          <w:p>
            <w:pPr>
              <w:rPr>
                <w:rFonts w:hint="default"/>
                <w:lang w:val="en-US" w:eastAsia="zh-CN"/>
              </w:rPr>
            </w:pPr>
            <w:r>
              <w:rPr>
                <w:rFonts w:hint="eastAsia"/>
                <w:lang w:val="en-US" w:eastAsia="zh-CN"/>
              </w:rPr>
              <w:t>En7.4</w:t>
            </w:r>
          </w:p>
        </w:tc>
        <w:tc>
          <w:tcPr>
            <w:tcW w:w="10797" w:type="dxa"/>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策划编制有《信息沟通、交流控制程序》，内容规定了公司内部、外部相关信息及时、准确、快捷接收、传递和处理的程序。</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公司与地方政府、供应方、顾客等相关方保持了密切的沟通与交流，获取接收国家及地方政府的法律法规；参加政府节能相关会议、接收政府清洁生产及节能降耗检查、走访顾客和供应方等。</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公司内部建立生产（节能）例会制度，每周召开生产（节能）例会不少于一次。</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抽查2021年5-6月份共召开8次生产（节能）例会，抽查2021.06.19“生产（节能）例会记录”，</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主持人：</w:t>
            </w:r>
            <w:r>
              <w:rPr>
                <w:rFonts w:hint="eastAsia" w:cs="Times New Roman"/>
                <w:kern w:val="2"/>
                <w:sz w:val="20"/>
                <w:szCs w:val="22"/>
                <w:lang w:val="en-US" w:eastAsia="zh-CN" w:bidi="ar-SA"/>
              </w:rPr>
              <w:t>高志强</w:t>
            </w:r>
            <w:r>
              <w:rPr>
                <w:rFonts w:hint="eastAsia" w:ascii="Times New Roman" w:hAnsi="Times New Roman" w:eastAsia="宋体" w:cs="Times New Roman"/>
                <w:kern w:val="2"/>
                <w:sz w:val="20"/>
                <w:szCs w:val="22"/>
                <w:lang w:val="en-US" w:eastAsia="zh-CN" w:bidi="ar-SA"/>
              </w:rPr>
              <w:t xml:space="preserve">（公司副总经理）    参加会议有：各部门负责人。会议内容通报了上周生产、经营、质量、安全、环保、能耗、收率、成本核算等状况。提出了本周生产安排、经营绩效以及需要解决的几项问题等等，并对每项问题确定主管部门及负责人，完成时间等等。  </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公司内外部信息沟通保持畅通。</w:t>
            </w:r>
          </w:p>
        </w:tc>
        <w:tc>
          <w:tcPr>
            <w:tcW w:w="792" w:type="dxa"/>
          </w:tcPr>
          <w:p/>
          <w:p>
            <w:pPr>
              <w:pStyle w:val="2"/>
            </w:pPr>
          </w:p>
          <w:p>
            <w:pPr>
              <w:pStyle w:val="2"/>
            </w:pPr>
          </w:p>
          <w:p>
            <w:pPr>
              <w:pStyle w:val="2"/>
            </w:pPr>
          </w:p>
          <w:p>
            <w:pPr>
              <w:pStyle w:val="2"/>
            </w:pPr>
          </w:p>
          <w:p>
            <w:pPr>
              <w:pStyle w:val="2"/>
            </w:pPr>
          </w:p>
          <w:p>
            <w:pPr>
              <w:pStyle w:val="9"/>
              <w:ind w:left="0" w:leftChars="0" w:firstLine="200" w:firstLineChars="100"/>
              <w:rPr>
                <w:rFonts w:hint="eastAsia"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Y</w:t>
            </w:r>
          </w:p>
          <w:p>
            <w:pPr>
              <w:pStyle w:val="9"/>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tcPr>
          <w:p>
            <w:pPr>
              <w:rPr>
                <w:rFonts w:hint="default"/>
                <w:lang w:val="en-US" w:eastAsia="zh-CN"/>
              </w:rPr>
            </w:pPr>
            <w:r>
              <w:rPr>
                <w:rFonts w:hint="eastAsia"/>
                <w:lang w:val="en-US" w:eastAsia="zh-CN"/>
              </w:rPr>
              <w:t>成文信息</w:t>
            </w:r>
          </w:p>
        </w:tc>
        <w:tc>
          <w:tcPr>
            <w:tcW w:w="960" w:type="dxa"/>
          </w:tcPr>
          <w:p>
            <w:pPr>
              <w:rPr>
                <w:rFonts w:hint="eastAsia"/>
                <w:lang w:val="en-US" w:eastAsia="zh-CN"/>
              </w:rPr>
            </w:pPr>
            <w:r>
              <w:rPr>
                <w:rFonts w:hint="eastAsia" w:ascii="宋体" w:hAnsi="宋体"/>
                <w:szCs w:val="21"/>
                <w:lang w:val="en-US" w:eastAsia="zh-CN"/>
              </w:rPr>
              <w:t>7.5</w:t>
            </w:r>
          </w:p>
        </w:tc>
        <w:tc>
          <w:tcPr>
            <w:tcW w:w="10797" w:type="dxa"/>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策划编制有《文件控制程序》和《记录控制程序》，内容规定了公司能源管理有关的文件和记录进行有效控制和管理的要求。建立“能源体系文件清单”和“记录清单”</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公司编制有“能源管理手册”、15个“能源管理程序文件”、相应“生产卡片、工艺卡片、过程作业指导书”、“设备管理制度”以及相关各类记录清单； 建立外来文件清单，有专人管理。</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抽查《能源管理手册》、《能源评审控制程序》、《内部审核控制程序》、《生产设备维护保养管理规定》、</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《生产线用气、用电、用水记录》、《月度能源绩效考核记录》等编制、审核、批准齐全，确保了其适宜性和充分性。</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本部门建立“文件发放记录”，领用人有签名，以确保需要场所可获得并适用。</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本部门建立“文件变更（换版）记录”，领用人有签名，以确保文件有效并适用。</w:t>
            </w:r>
          </w:p>
        </w:tc>
        <w:tc>
          <w:tcPr>
            <w:tcW w:w="792" w:type="dxa"/>
          </w:tcPr>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lang w:val="en-US" w:eastAsia="zh-CN"/>
              </w:rPr>
            </w:pPr>
            <w:r>
              <w:rPr>
                <w:rFonts w:hint="eastAsia" w:ascii="宋体" w:hAnsi="宋体"/>
                <w:szCs w:val="21"/>
                <w:lang w:val="en-US" w:eastAsia="zh-CN"/>
              </w:rPr>
              <w:t>法律法规的合评</w:t>
            </w:r>
          </w:p>
        </w:tc>
        <w:tc>
          <w:tcPr>
            <w:tcW w:w="960" w:type="dxa"/>
          </w:tcPr>
          <w:p>
            <w:pPr>
              <w:rPr>
                <w:rFonts w:hint="default"/>
                <w:lang w:val="en-US" w:eastAsia="zh-CN"/>
              </w:rPr>
            </w:pPr>
            <w:r>
              <w:rPr>
                <w:rFonts w:hint="eastAsia"/>
                <w:lang w:val="en-US" w:eastAsia="zh-CN"/>
              </w:rPr>
              <w:t>En9.1.2</w:t>
            </w:r>
          </w:p>
        </w:tc>
        <w:tc>
          <w:tcPr>
            <w:tcW w:w="10797" w:type="dxa"/>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本部门策划编制有《法律法规及其他要求识别控制程序》，内容规定了公司获取、确定和更新能源使用和能源消耗过程应遵守的法律法规及其他要求，并建立获取这些法律法规及其他要求的渠道。还规定了每年至少更新一次。</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公司目前获取渠道是：  政府（上级）下发、网络下载、书店购买等</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 xml:space="preserve">公司建立“能源法律法规及其他要求清单”       </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2021年3月6日更新</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清单内容包括序号、法律法规及其他要求名称、发布部门、发布日期、实施日期、获取日期、识别适宜条款、涉及公司主管部门、备注等等共获取国家及行业能源法律法规及其他要求 53项（包括四川省、成都市等地方法规 8项）</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 xml:space="preserve">出示《能源管理体系合规性评价报告》      </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评价日期：2021年3月6日</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参加评价人员：王劲松、宋豪、孙红云 等人     审批：杨伟     2021年3月6日</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cs="Times New Roman"/>
                <w:szCs w:val="22"/>
                <w:lang w:val="en-US" w:eastAsia="zh-CN"/>
              </w:rPr>
            </w:pPr>
            <w:r>
              <w:rPr>
                <w:rFonts w:hint="eastAsia" w:cs="Times New Roman"/>
                <w:szCs w:val="22"/>
                <w:lang w:val="en-US" w:eastAsia="zh-CN"/>
              </w:rPr>
              <w:t>通过对“中华人民共和国电力法”、“中华人民共和国再生能源法”“中华人民共和国水法”、“高能耗落后机电设备（产品）淘汰目录（第一至第四批）”、“四川省节约能源条例”、《关于进一步加强固定资产投资项目和区域节能审查管理的意见》的通知（川发改能源〔2021〕42 号）、“国务院关于印发“十三五”节能减排综合工作方案的通知”、“GB17167-2006 用能单位能源计量器具配备及管理导则”等逐条合规性评价，评价结论是：</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cs="Times New Roman"/>
                <w:szCs w:val="22"/>
                <w:lang w:val="en-US" w:eastAsia="zh-CN"/>
              </w:rPr>
            </w:pPr>
            <w:r>
              <w:rPr>
                <w:rFonts w:hint="eastAsia" w:cs="Times New Roman"/>
                <w:szCs w:val="22"/>
                <w:lang w:val="en-US" w:eastAsia="zh-CN"/>
              </w:rPr>
              <w:t>全部符合。</w:t>
            </w:r>
          </w:p>
        </w:tc>
        <w:tc>
          <w:tcPr>
            <w:tcW w:w="792" w:type="dxa"/>
          </w:tcPr>
          <w:p/>
          <w:p>
            <w:pPr>
              <w:pStyle w:val="9"/>
            </w:pPr>
          </w:p>
          <w:p>
            <w:pPr>
              <w:pStyle w:val="9"/>
              <w:ind w:left="0" w:leftChars="0" w:firstLine="0" w:firstLineChars="0"/>
            </w:pPr>
          </w:p>
          <w:p>
            <w:pPr>
              <w:pStyle w:val="9"/>
            </w:pPr>
          </w:p>
          <w:p>
            <w:pPr>
              <w:pStyle w:val="9"/>
            </w:pPr>
          </w:p>
          <w:p>
            <w:pPr>
              <w:pStyle w:val="9"/>
            </w:pPr>
          </w:p>
          <w:p>
            <w:pPr>
              <w:pStyle w:val="9"/>
            </w:pPr>
          </w:p>
          <w:p>
            <w:pPr>
              <w:pStyle w:val="9"/>
            </w:pPr>
          </w:p>
          <w:p>
            <w:pPr>
              <w:pStyle w:val="9"/>
            </w:pPr>
          </w:p>
          <w:p>
            <w:pPr>
              <w:pStyle w:val="9"/>
              <w:rPr>
                <w:rFonts w:hint="eastAsia"/>
                <w:lang w:val="en-US" w:eastAsia="zh-CN"/>
              </w:rPr>
            </w:pPr>
            <w:r>
              <w:rPr>
                <w:rFonts w:hint="eastAsia"/>
                <w:lang w:val="en-US" w:eastAsia="zh-CN"/>
              </w:rPr>
              <w:t>Y</w:t>
            </w:r>
          </w:p>
          <w:p>
            <w:pPr>
              <w:pStyle w:val="9"/>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宋体" w:hAnsi="宋体"/>
                <w:szCs w:val="21"/>
                <w:lang w:val="en-US" w:eastAsia="zh-CN"/>
              </w:rPr>
            </w:pPr>
            <w:r>
              <w:rPr>
                <w:rFonts w:hint="eastAsia" w:ascii="宋体" w:hAnsi="宋体"/>
                <w:szCs w:val="21"/>
              </w:rPr>
              <w:t xml:space="preserve"> 内部审核</w:t>
            </w:r>
          </w:p>
        </w:tc>
        <w:tc>
          <w:tcPr>
            <w:tcW w:w="960" w:type="dxa"/>
          </w:tcPr>
          <w:p>
            <w:pPr>
              <w:rPr>
                <w:rFonts w:hint="default"/>
                <w:lang w:val="en-US" w:eastAsia="zh-CN"/>
              </w:rPr>
            </w:pPr>
            <w:r>
              <w:rPr>
                <w:rFonts w:hint="eastAsia"/>
                <w:lang w:val="en-US" w:eastAsia="zh-CN"/>
              </w:rPr>
              <w:t>En9.2</w:t>
            </w:r>
          </w:p>
        </w:tc>
        <w:tc>
          <w:tcPr>
            <w:tcW w:w="10797" w:type="dxa"/>
          </w:tcPr>
          <w:p>
            <w:pPr>
              <w:pStyle w:val="9"/>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策划编制有《内部审核控制程序》，内容规定了公司为了验证能源管理体系是否符合标准的要求，是否得到有效实施，保持和持续改进，为能源管理体系保持有效运行提供证据开展的活动。并规定了每年内审至少一次，当发生重大变更可增加审核次数。</w:t>
            </w:r>
          </w:p>
          <w:p>
            <w:pPr>
              <w:pStyle w:val="9"/>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公司自能源管理体系运行以来，策划实施了一次内部审核。</w:t>
            </w:r>
          </w:p>
          <w:p>
            <w:pPr>
              <w:pStyle w:val="9"/>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 xml:space="preserve">出示《能源内部审核计划》  编审批齐全         </w:t>
            </w:r>
          </w:p>
          <w:p>
            <w:pPr>
              <w:pStyle w:val="9"/>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内审日期：</w:t>
            </w:r>
            <w:r>
              <w:rPr>
                <w:rFonts w:hint="eastAsia" w:ascii="Times New Roman" w:hAnsi="Times New Roman" w:eastAsia="宋体" w:cs="Times New Roman"/>
                <w:kern w:val="2"/>
                <w:sz w:val="21"/>
                <w:lang w:val="en-US" w:eastAsia="zh-CN" w:bidi="ar-SA"/>
              </w:rPr>
              <w:t>2021年0</w:t>
            </w:r>
            <w:r>
              <w:rPr>
                <w:rFonts w:hint="eastAsia" w:cs="Times New Roman"/>
                <w:kern w:val="2"/>
                <w:sz w:val="21"/>
                <w:lang w:val="en-US" w:eastAsia="zh-CN" w:bidi="ar-SA"/>
              </w:rPr>
              <w:t>7</w:t>
            </w:r>
            <w:r>
              <w:rPr>
                <w:rFonts w:hint="eastAsia" w:ascii="Times New Roman" w:hAnsi="Times New Roman" w:eastAsia="宋体" w:cs="Times New Roman"/>
                <w:kern w:val="2"/>
                <w:sz w:val="21"/>
                <w:lang w:val="en-US" w:eastAsia="zh-CN" w:bidi="ar-SA"/>
              </w:rPr>
              <w:t>月</w:t>
            </w:r>
            <w:r>
              <w:rPr>
                <w:rFonts w:hint="eastAsia" w:cs="Times New Roman"/>
                <w:kern w:val="2"/>
                <w:sz w:val="21"/>
                <w:lang w:val="en-US" w:eastAsia="zh-CN" w:bidi="ar-SA"/>
              </w:rPr>
              <w:t>20</w:t>
            </w:r>
            <w:r>
              <w:rPr>
                <w:rFonts w:hint="eastAsia" w:ascii="Times New Roman" w:hAnsi="Times New Roman" w:eastAsia="宋体" w:cs="Times New Roman"/>
                <w:kern w:val="2"/>
                <w:sz w:val="21"/>
                <w:lang w:val="en-US" w:eastAsia="zh-CN" w:bidi="ar-SA"/>
              </w:rPr>
              <w:t>日</w:t>
            </w:r>
          </w:p>
          <w:p>
            <w:pPr>
              <w:rPr>
                <w:rFonts w:hint="eastAsia" w:eastAsia="宋体" w:cs="Times New Roman"/>
                <w:kern w:val="2"/>
                <w:sz w:val="21"/>
                <w:lang w:val="en-US" w:eastAsia="zh-CN" w:bidi="ar-SA"/>
              </w:rPr>
            </w:pPr>
            <w:r>
              <w:rPr>
                <w:rFonts w:hint="eastAsia" w:eastAsia="宋体" w:cs="Times New Roman"/>
                <w:kern w:val="2"/>
                <w:sz w:val="21"/>
                <w:lang w:val="en-US" w:eastAsia="zh-CN" w:bidi="ar-SA"/>
              </w:rPr>
              <w:t>成立了内审组</w:t>
            </w:r>
            <w:r>
              <w:rPr>
                <w:rFonts w:hint="eastAsia" w:cs="Times New Roman"/>
                <w:kern w:val="2"/>
                <w:sz w:val="21"/>
                <w:lang w:val="en-US" w:eastAsia="zh-CN" w:bidi="ar-SA"/>
              </w:rPr>
              <w:t>：</w:t>
            </w:r>
            <w:r>
              <w:rPr>
                <w:rFonts w:hint="eastAsia" w:ascii="Times New Roman" w:hAnsi="Times New Roman" w:eastAsia="宋体" w:cs="Times New Roman"/>
                <w:kern w:val="2"/>
                <w:sz w:val="21"/>
                <w:lang w:val="en-US" w:eastAsia="zh-CN" w:bidi="ar-SA"/>
              </w:rPr>
              <w:t>组长A</w:t>
            </w:r>
            <w:r>
              <w:rPr>
                <w:rFonts w:hint="eastAsia" w:cs="Times New Roman"/>
                <w:kern w:val="2"/>
                <w:sz w:val="21"/>
                <w:lang w:val="en-US" w:eastAsia="zh-CN" w:bidi="ar-SA"/>
              </w:rPr>
              <w:t>孙红云（质量管理部）；B徐言军（设备动力部</w:t>
            </w:r>
            <w:r>
              <w:rPr>
                <w:rFonts w:hint="eastAsia" w:eastAsia="宋体" w:cs="Times New Roman"/>
                <w:kern w:val="2"/>
                <w:sz w:val="21"/>
                <w:lang w:val="en-US" w:eastAsia="zh-CN" w:bidi="ar-SA"/>
              </w:rPr>
              <w:t>）分二个组进行审核，分工基本合理，内审员未审核本部门，具有公正性。</w:t>
            </w:r>
          </w:p>
          <w:p>
            <w:pPr>
              <w:pStyle w:val="9"/>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内审计划内容包括内审目的、范围、依据和方法，基本覆盖能源标准全条款以及公司涉及的部门和场所，出示内审检查记录，记录内容基本按照内审计划安排进行，记录较为简单（口头沟通）</w:t>
            </w:r>
          </w:p>
          <w:p>
            <w:pPr>
              <w:pStyle w:val="9"/>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本次内审发现一项不符合，发现部门：</w:t>
            </w:r>
            <w:r>
              <w:rPr>
                <w:rFonts w:hint="eastAsia" w:cs="Times New Roman"/>
                <w:kern w:val="2"/>
                <w:sz w:val="21"/>
                <w:lang w:val="en-US" w:eastAsia="zh-CN" w:bidi="ar-SA"/>
              </w:rPr>
              <w:t>安全环保部</w:t>
            </w:r>
            <w:r>
              <w:rPr>
                <w:rFonts w:hint="eastAsia" w:ascii="Times New Roman" w:hAnsi="Times New Roman" w:eastAsia="宋体" w:cs="Times New Roman"/>
                <w:kern w:val="2"/>
                <w:sz w:val="21"/>
                <w:lang w:val="en-US" w:eastAsia="zh-CN" w:bidi="ar-SA"/>
              </w:rPr>
              <w:t>。</w:t>
            </w:r>
          </w:p>
          <w:p>
            <w:pPr>
              <w:spacing w:before="100"/>
              <w:rPr>
                <w:rFonts w:hint="eastAsia" w:eastAsia="宋体" w:cs="Times New Roman"/>
                <w:kern w:val="2"/>
                <w:sz w:val="21"/>
                <w:lang w:val="en-US" w:eastAsia="zh-CN" w:bidi="ar-SA"/>
              </w:rPr>
            </w:pPr>
            <w:r>
              <w:rPr>
                <w:rFonts w:hint="eastAsia" w:eastAsia="宋体" w:cs="Times New Roman"/>
                <w:kern w:val="2"/>
                <w:sz w:val="21"/>
                <w:lang w:val="en-US" w:eastAsia="zh-CN" w:bidi="ar-SA"/>
              </w:rPr>
              <w:t>不符合事实</w:t>
            </w:r>
            <w:r>
              <w:rPr>
                <w:rFonts w:hint="eastAsia" w:ascii="Times New Roman" w:hAnsi="Times New Roman" w:eastAsia="宋体" w:cs="Times New Roman"/>
                <w:kern w:val="2"/>
                <w:sz w:val="21"/>
                <w:lang w:val="en-US" w:eastAsia="zh-CN" w:bidi="ar-SA"/>
              </w:rPr>
              <w:t>：</w:t>
            </w:r>
            <w:r>
              <w:rPr>
                <w:rFonts w:hint="default" w:ascii="Times New Roman" w:hAnsi="Times New Roman" w:eastAsia="宋体" w:cs="Times New Roman"/>
                <w:kern w:val="2"/>
                <w:sz w:val="21"/>
                <w:lang w:val="en-US" w:eastAsia="zh-CN" w:bidi="ar-SA"/>
              </w:rPr>
              <w:t>法律法规清单中未包括</w:t>
            </w:r>
            <w:r>
              <w:rPr>
                <w:rFonts w:hint="eastAsia" w:cs="Times New Roman"/>
                <w:kern w:val="2"/>
                <w:sz w:val="21"/>
                <w:lang w:val="en-US" w:eastAsia="zh-CN" w:bidi="ar-SA"/>
              </w:rPr>
              <w:t>四川省</w:t>
            </w:r>
            <w:r>
              <w:rPr>
                <w:rFonts w:hint="default" w:ascii="Times New Roman" w:hAnsi="Times New Roman" w:eastAsia="宋体" w:cs="Times New Roman"/>
                <w:kern w:val="2"/>
                <w:sz w:val="21"/>
                <w:lang w:val="en-US" w:eastAsia="zh-CN" w:bidi="ar-SA"/>
              </w:rPr>
              <w:t>等地方政策、法规等。不符合4.2条款要求。</w:t>
            </w:r>
            <w:r>
              <w:rPr>
                <w:rFonts w:hint="eastAsia" w:eastAsia="宋体" w:cs="Times New Roman"/>
                <w:kern w:val="2"/>
                <w:sz w:val="21"/>
                <w:lang w:val="en-US" w:eastAsia="zh-CN" w:bidi="ar-SA"/>
              </w:rPr>
              <w:t>判</w:t>
            </w:r>
            <w:r>
              <w:rPr>
                <w:rFonts w:hint="eastAsia" w:cs="Times New Roman"/>
                <w:kern w:val="2"/>
                <w:sz w:val="21"/>
                <w:lang w:val="en-US" w:eastAsia="zh-CN" w:bidi="ar-SA"/>
              </w:rPr>
              <w:t>一般</w:t>
            </w:r>
            <w:r>
              <w:rPr>
                <w:rFonts w:hint="eastAsia" w:eastAsia="宋体" w:cs="Times New Roman"/>
                <w:kern w:val="2"/>
                <w:sz w:val="21"/>
                <w:lang w:val="en-US" w:eastAsia="zh-CN" w:bidi="ar-SA"/>
              </w:rPr>
              <w:t>不符合</w:t>
            </w:r>
          </w:p>
          <w:p>
            <w:pPr>
              <w:pStyle w:val="9"/>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公司组织对不符合项进行了原因分析，制订了相应纠正/纠正措施，目前纠正措施正</w:t>
            </w:r>
            <w:r>
              <w:rPr>
                <w:rFonts w:hint="eastAsia" w:cs="Times New Roman"/>
                <w:kern w:val="2"/>
                <w:sz w:val="21"/>
                <w:lang w:val="en-US" w:eastAsia="zh-CN" w:bidi="ar-SA"/>
              </w:rPr>
              <w:t>已经</w:t>
            </w:r>
            <w:r>
              <w:rPr>
                <w:rFonts w:hint="eastAsia" w:eastAsia="宋体" w:cs="Times New Roman"/>
                <w:kern w:val="2"/>
                <w:sz w:val="21"/>
                <w:lang w:val="en-US" w:eastAsia="zh-CN" w:bidi="ar-SA"/>
              </w:rPr>
              <w:t>完成）。</w:t>
            </w:r>
          </w:p>
          <w:p>
            <w:pPr>
              <w:pStyle w:val="9"/>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出示《能源管理体系内审报告》内审结论：公司建立的能源管理体系基本符合标准要求，适宜公司现状，能源管理体系运行基本有效。</w:t>
            </w:r>
          </w:p>
          <w:p>
            <w:pPr>
              <w:pStyle w:val="9"/>
              <w:rPr>
                <w:rFonts w:hint="eastAsia" w:eastAsia="宋体" w:cs="Times New Roman"/>
                <w:kern w:val="2"/>
                <w:sz w:val="21"/>
                <w:lang w:val="en-US" w:eastAsia="zh-CN" w:bidi="ar-SA"/>
              </w:rPr>
            </w:pPr>
            <w:r>
              <w:rPr>
                <w:rFonts w:hint="eastAsia" w:eastAsia="宋体" w:cs="Times New Roman"/>
                <w:kern w:val="2"/>
                <w:sz w:val="21"/>
                <w:lang w:val="en-US" w:eastAsia="zh-CN" w:bidi="ar-SA"/>
              </w:rPr>
              <w:t>“内审报告”编审批齐全，并发放至公司领导及各部门。</w:t>
            </w:r>
          </w:p>
          <w:p>
            <w:pPr>
              <w:pStyle w:val="9"/>
              <w:rPr>
                <w:rFonts w:hint="default" w:eastAsia="宋体" w:cs="Times New Roman"/>
                <w:kern w:val="2"/>
                <w:sz w:val="21"/>
                <w:lang w:val="en-US" w:eastAsia="zh-CN" w:bidi="ar-SA"/>
              </w:rPr>
            </w:pPr>
            <w:r>
              <w:rPr>
                <w:rFonts w:hint="eastAsia" w:cs="Times New Roman"/>
                <w:color w:val="0000FF"/>
                <w:kern w:val="2"/>
                <w:sz w:val="21"/>
                <w:lang w:val="en-US" w:eastAsia="zh-CN" w:bidi="ar-SA"/>
              </w:rPr>
              <w:t>审核时发现，能源管理体系内审员没有经过能源管理体系标准和审核知识的培训。</w:t>
            </w:r>
          </w:p>
        </w:tc>
        <w:tc>
          <w:tcPr>
            <w:tcW w:w="792" w:type="dxa"/>
          </w:tcPr>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default"/>
                <w:lang w:val="en-US" w:eastAsia="zh-CN"/>
              </w:rPr>
            </w:pPr>
            <w:r>
              <w:rPr>
                <w:rFonts w:hint="eastAsia"/>
                <w:lang w:val="en-US" w:eastAsia="zh-CN"/>
              </w:rPr>
              <w:t>不符合纠正/持续改进</w:t>
            </w:r>
          </w:p>
        </w:tc>
        <w:tc>
          <w:tcPr>
            <w:tcW w:w="960" w:type="dxa"/>
          </w:tcPr>
          <w:p>
            <w:pPr>
              <w:rPr>
                <w:rFonts w:hint="eastAsia"/>
                <w:lang w:val="en-US" w:eastAsia="zh-CN"/>
              </w:rPr>
            </w:pPr>
            <w:r>
              <w:rPr>
                <w:rFonts w:hint="eastAsia"/>
                <w:lang w:val="en-US" w:eastAsia="zh-CN"/>
              </w:rPr>
              <w:t>En10.1/</w:t>
            </w:r>
          </w:p>
          <w:p>
            <w:pPr>
              <w:pStyle w:val="9"/>
              <w:rPr>
                <w:rFonts w:hint="default"/>
                <w:lang w:val="en-US" w:eastAsia="zh-CN"/>
              </w:rPr>
            </w:pPr>
            <w:r>
              <w:rPr>
                <w:rFonts w:hint="eastAsia" w:ascii="Times New Roman" w:hAnsi="Times New Roman" w:eastAsia="宋体" w:cs="Times New Roman"/>
                <w:kern w:val="2"/>
                <w:sz w:val="21"/>
                <w:szCs w:val="22"/>
                <w:lang w:val="en-US" w:eastAsia="zh-CN" w:bidi="ar-SA"/>
              </w:rPr>
              <w:t>10.2</w:t>
            </w:r>
          </w:p>
        </w:tc>
        <w:tc>
          <w:tcPr>
            <w:tcW w:w="10797" w:type="dxa"/>
          </w:tcPr>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lang w:val="en-US" w:eastAsia="zh-CN"/>
              </w:rPr>
            </w:pPr>
            <w:r>
              <w:rPr>
                <w:rFonts w:hint="eastAsia"/>
                <w:lang w:val="en-US" w:eastAsia="zh-CN"/>
              </w:rPr>
              <w:t>对于内审、外审中发现的不符合项，进行分析原因并制定纠正措施。同时在每月的绩效考核中发现能耗发生异常时及时分析原因进行改进。</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eastAsia="宋体"/>
                <w:lang w:val="en-US" w:eastAsia="zh-CN"/>
              </w:rPr>
            </w:pPr>
            <w:r>
              <w:rPr>
                <w:rFonts w:hint="eastAsia"/>
                <w:lang w:val="en-US" w:eastAsia="zh-CN"/>
              </w:rPr>
              <w:t>利用内审和管理评审、目标考核以及日常的能耗检查，不断持续改进业绩。</w:t>
            </w:r>
          </w:p>
        </w:tc>
        <w:tc>
          <w:tcPr>
            <w:tcW w:w="792" w:type="dxa"/>
          </w:tcPr>
          <w:p/>
          <w:p>
            <w:pPr>
              <w:pStyle w:val="9"/>
            </w:pPr>
          </w:p>
          <w:p>
            <w:pPr>
              <w:pStyle w:val="9"/>
            </w:pPr>
          </w:p>
          <w:p>
            <w:pPr>
              <w:pStyle w:val="9"/>
              <w:rPr>
                <w:rFonts w:hint="eastAsia" w:eastAsia="宋体"/>
                <w:lang w:val="en-US" w:eastAsia="zh-CN"/>
              </w:rPr>
            </w:pPr>
            <w:r>
              <w:rPr>
                <w:rFonts w:hint="eastAsia"/>
                <w:lang w:val="en-US" w:eastAsia="zh-CN"/>
              </w:rPr>
              <w:t>y</w:t>
            </w:r>
          </w:p>
        </w:tc>
      </w:tr>
    </w:tbl>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7"/>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japaneseCounting"/>
      <w:pStyle w:val="18"/>
      <w:suff w:val="nothing"/>
      <w:lvlText w:val="%1、"/>
      <w:lvlJc w:val="left"/>
      <w:pPr>
        <w:ind w:left="0" w:firstLine="0"/>
      </w:pPr>
      <w:rPr>
        <w:rFonts w:ascii="宋体" w:hAnsi="宋体" w:eastAsia="宋体" w:cs="Times New Roman"/>
        <w:b w:val="0"/>
        <w:i w:val="0"/>
        <w:sz w:val="28"/>
        <w:szCs w:val="28"/>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536930"/>
    <w:rsid w:val="00564E53"/>
    <w:rsid w:val="005D5659"/>
    <w:rsid w:val="00600C20"/>
    <w:rsid w:val="00644FE2"/>
    <w:rsid w:val="0067640C"/>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F0F48C2"/>
    <w:rsid w:val="108219C2"/>
    <w:rsid w:val="14143BB2"/>
    <w:rsid w:val="18B0348F"/>
    <w:rsid w:val="192F5011"/>
    <w:rsid w:val="1D5C5E94"/>
    <w:rsid w:val="1E0537DC"/>
    <w:rsid w:val="1E92443A"/>
    <w:rsid w:val="1F303612"/>
    <w:rsid w:val="203A7DFA"/>
    <w:rsid w:val="25726879"/>
    <w:rsid w:val="265042EE"/>
    <w:rsid w:val="29550A82"/>
    <w:rsid w:val="2ADD033E"/>
    <w:rsid w:val="2CC56303"/>
    <w:rsid w:val="2E784F01"/>
    <w:rsid w:val="37022033"/>
    <w:rsid w:val="3FD87230"/>
    <w:rsid w:val="400168D5"/>
    <w:rsid w:val="41BE4BFD"/>
    <w:rsid w:val="42FA3EBB"/>
    <w:rsid w:val="49907112"/>
    <w:rsid w:val="4BDA2851"/>
    <w:rsid w:val="4E754F0D"/>
    <w:rsid w:val="4EB06CE3"/>
    <w:rsid w:val="5062731F"/>
    <w:rsid w:val="51B355DC"/>
    <w:rsid w:val="51CB0431"/>
    <w:rsid w:val="52407F77"/>
    <w:rsid w:val="54A55E26"/>
    <w:rsid w:val="56955064"/>
    <w:rsid w:val="56BF4ADF"/>
    <w:rsid w:val="56ED7099"/>
    <w:rsid w:val="58F45158"/>
    <w:rsid w:val="5AEB2456"/>
    <w:rsid w:val="5EA12B9A"/>
    <w:rsid w:val="60A703C5"/>
    <w:rsid w:val="619A01E9"/>
    <w:rsid w:val="6A997D30"/>
    <w:rsid w:val="6B317C7C"/>
    <w:rsid w:val="6C3312C7"/>
    <w:rsid w:val="72F0497F"/>
    <w:rsid w:val="73F24767"/>
    <w:rsid w:val="75532C29"/>
    <w:rsid w:val="788C0C63"/>
    <w:rsid w:val="7AEC0F33"/>
    <w:rsid w:val="7CDA12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outlineLvl w:val="0"/>
    </w:pPr>
    <w:rPr>
      <w:b/>
      <w:sz w:val="28"/>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10"/>
    <w:pPr>
      <w:spacing w:before="240" w:after="60"/>
      <w:jc w:val="center"/>
      <w:outlineLvl w:val="0"/>
    </w:pPr>
    <w:rPr>
      <w:rFonts w:ascii="Cambria" w:hAnsi="Cambria"/>
      <w:b/>
      <w:bCs/>
      <w:sz w:val="32"/>
      <w:szCs w:val="32"/>
    </w:rPr>
  </w:style>
  <w:style w:type="paragraph" w:styleId="9">
    <w:name w:val="Body Text First Indent"/>
    <w:basedOn w:val="2"/>
    <w:unhideWhenUsed/>
    <w:qFormat/>
    <w:uiPriority w:val="99"/>
    <w:pPr>
      <w:ind w:firstLine="420" w:firstLineChars="100"/>
    </w:pPr>
  </w:style>
  <w:style w:type="table" w:styleId="11">
    <w:name w:val="Table Grid"/>
    <w:basedOn w:val="10"/>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qFormat/>
    <w:uiPriority w:val="99"/>
    <w:rPr>
      <w:color w:val="0000FF"/>
      <w:u w:val="single"/>
    </w:rPr>
  </w:style>
  <w:style w:type="character" w:customStyle="1" w:styleId="14">
    <w:name w:val="页眉 字符"/>
    <w:basedOn w:val="12"/>
    <w:link w:val="7"/>
    <w:qFormat/>
    <w:uiPriority w:val="99"/>
    <w:rPr>
      <w:rFonts w:ascii="Times New Roman" w:hAnsi="Times New Roman" w:eastAsia="宋体" w:cs="Times New Roman"/>
      <w:sz w:val="18"/>
      <w:szCs w:val="18"/>
    </w:rPr>
  </w:style>
  <w:style w:type="character" w:customStyle="1" w:styleId="15">
    <w:name w:val="页脚 字符"/>
    <w:basedOn w:val="12"/>
    <w:link w:val="6"/>
    <w:qFormat/>
    <w:uiPriority w:val="99"/>
    <w:rPr>
      <w:rFonts w:ascii="Times New Roman" w:hAnsi="Times New Roman" w:eastAsia="宋体" w:cs="Times New Roman"/>
      <w:sz w:val="18"/>
      <w:szCs w:val="18"/>
    </w:rPr>
  </w:style>
  <w:style w:type="character" w:customStyle="1" w:styleId="16">
    <w:name w:val="批注框文本 字符"/>
    <w:basedOn w:val="12"/>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styleId="19">
    <w:name w:val="List Paragraph"/>
    <w:basedOn w:val="1"/>
    <w:qFormat/>
    <w:uiPriority w:val="34"/>
    <w:pPr>
      <w:ind w:firstLine="420" w:firstLineChars="200"/>
    </w:pPr>
  </w:style>
  <w:style w:type="character" w:customStyle="1" w:styleId="20">
    <w:name w:val="g"/>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2021-09-14T14:23:16Z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A2A87B4AA3C04090A0C757B97B7400CA</vt:lpwstr>
  </property>
</Properties>
</file>