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376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条款</w:t>
            </w:r>
          </w:p>
        </w:tc>
        <w:tc>
          <w:tcPr>
            <w:tcW w:w="10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主管领导：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彭明高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陪同人员：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孙红云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审核员：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王宁敏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审核时间：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2021-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2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审核条款：5.3 组织的岗位、职责和权限、6.2 目标、能源指及其实现的策划、8.1 运行的策划和控制、10.1不符合与纠正措施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216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组织的岗位、职责和权限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2.能源管理目标、指标及实现措施策划适宜性；、能源职责；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/6.2</w:t>
            </w:r>
          </w:p>
        </w:tc>
        <w:tc>
          <w:tcPr>
            <w:tcW w:w="10376" w:type="dxa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lang w:val="en-US" w:eastAsia="zh-CN"/>
              </w:rPr>
              <w:t xml:space="preserve">：领导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彭明高</w:t>
            </w:r>
            <w:r>
              <w:rPr>
                <w:rFonts w:hint="eastAsia"/>
                <w:lang w:val="en-US" w:eastAsia="zh-CN"/>
              </w:rPr>
              <w:t>，共</w:t>
            </w:r>
            <w:r>
              <w:rPr>
                <w:rFonts w:hint="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人，《岗位及部门职责》：部门定位-依据国家有关财税方面的法律法规和集团财务管理制度，在副总经理/总经理助理的领导下，组织开展全面预算管理、会计核算、财务运作和控制等工作，为实现公司的战略目标和年度经营计划提供财务保障。设置有：总账兼税务、预算管理、成本管理、往来会计、出纳统计开票。</w:t>
            </w:r>
          </w:p>
          <w:p>
            <w:pPr>
              <w:pStyle w:val="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职责概述-财务体系建设、全面预算管理、会计核算管理、应收应付账款管理、资产管理、成本管理、资金</w:t>
            </w:r>
          </w:p>
          <w:p>
            <w:pPr>
              <w:pStyle w:val="7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管理、税收管理、统计管理、销售事务管理、部门建设。</w:t>
            </w:r>
          </w:p>
          <w:p>
            <w:pPr>
              <w:ind w:firstLine="42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2.提供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2"/>
                <w:lang w:val="en-US" w:eastAsia="zh-CN"/>
              </w:rPr>
              <w:t>能源管理目标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保证公司目标指标的完成，</w:t>
            </w:r>
          </w:p>
          <w:p>
            <w:pPr>
              <w:pStyle w:val="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财务管理——财务管理标准（含账务处理）差错率0项次/月，评价方法：财务报表</w:t>
            </w: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pStyle w:val="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查阅相关记录，财务管理全部完成。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lang w:val="en-US" w:eastAsia="zh-CN"/>
              </w:rPr>
              <w:t>基本完成目标指标，保证了能源项目的资金。</w:t>
            </w:r>
          </w:p>
        </w:tc>
        <w:tc>
          <w:tcPr>
            <w:tcW w:w="1213" w:type="dxa"/>
          </w:tcPr>
          <w:p/>
          <w:p>
            <w:pPr>
              <w:pStyle w:val="7"/>
            </w:pPr>
          </w:p>
          <w:p/>
          <w:p>
            <w:pPr>
              <w:pStyle w:val="7"/>
            </w:pPr>
          </w:p>
          <w:p/>
          <w:p>
            <w:pPr>
              <w:pStyle w:val="7"/>
            </w:pPr>
          </w:p>
          <w:p/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运行的策划和控制、能源资金的策划与控制8.1 ；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4.不符合与纠正措施。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8.1/</w:t>
            </w:r>
          </w:p>
          <w:p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0376" w:type="dxa"/>
          </w:tcPr>
          <w:p>
            <w:pPr>
              <w:pStyle w:val="7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制度清单：财务管理制度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主要会计政策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费用报销管理规定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报销票据管理规定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应收账款管理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制度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会计基础工作规范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会计电算化管理制度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资金管理规定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国防科研经费管理办法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资金收支管理办法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成本管理制度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固定资产管理办法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资产减值准备计提、转回转销管理制度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资产核销管理制度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客户信用等级与信用额度管理办法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全面预算管理规定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超预算审批管理办法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会计档案管理办法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销售与收款内控管理制度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差旅费管理办法</w:t>
            </w:r>
            <w:r>
              <w:rPr>
                <w:rFonts w:hint="eastAsia"/>
                <w:lang w:val="en-US" w:eastAsia="zh-CN"/>
              </w:rPr>
              <w:t>等制度，均有编审批，符合管理实际。</w:t>
            </w:r>
          </w:p>
          <w:p>
            <w:pPr>
              <w:pStyle w:val="7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提供《监视、测量与分析控制程序》《不符合、纠正、纠正措施和预防措施控制程序》，公司建立、实施并</w:t>
            </w:r>
          </w:p>
          <w:p>
            <w:pPr>
              <w:pStyle w:val="7"/>
              <w:ind w:left="0" w:leftChars="0" w:firstLine="0" w:firstLineChars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保持《监视、测量与分析控制程序》，以实现对能源管理绩效的监视、测量与评价。</w:t>
            </w:r>
          </w:p>
          <w:p>
            <w:pPr>
              <w:pStyle w:val="7"/>
              <w:numPr>
                <w:ilvl w:val="0"/>
                <w:numId w:val="0"/>
              </w:numPr>
              <w:ind w:leftChars="0"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2、2021年采购水电气等能源资金预算3775.32万元，截止8月底目前实际支出2447.15万元。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  3、抽查：</w:t>
            </w:r>
            <w:r>
              <w:rPr>
                <w:rFonts w:hint="eastAsia"/>
                <w:lang w:val="en-US" w:eastAsia="zh-CN"/>
              </w:rPr>
              <w:t>《车间循环水改造》，项目类别：B类改进型，项目名称：车间循环水改造，项目负责人：黄桥军。项目主要参与人：肖俊虎、杜仁林、李东，项目申请时间：2018年12月10日，项目起止时间：2018年12月1日至2019年5月30日，成果所属部门：钼份产品线。</w:t>
            </w:r>
          </w:p>
          <w:p>
            <w:pPr>
              <w:pStyle w:val="7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项目经费预算及经费来源：包括人工费用、试验调试、分析测试、仪器设备购置、试验材料、信息调研、</w:t>
            </w:r>
          </w:p>
          <w:p>
            <w:pPr>
              <w:pStyle w:val="7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资料等。项目总投资：8.0万元。</w:t>
            </w:r>
          </w:p>
          <w:p>
            <w:pPr>
              <w:pStyle w:val="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项目的资金全部按时间节点到位，没有拖延项目的进度。</w:t>
            </w:r>
            <w:bookmarkStart w:id="0" w:name="_GoBack"/>
            <w:bookmarkEnd w:id="0"/>
          </w:p>
          <w:p>
            <w:pPr>
              <w:pStyle w:val="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目前在能源方面的财务管理没有发生不符合，资金基本到位。</w:t>
            </w:r>
          </w:p>
        </w:tc>
        <w:tc>
          <w:tcPr>
            <w:tcW w:w="1213" w:type="dxa"/>
          </w:tcPr>
          <w:p/>
        </w:tc>
      </w:tr>
    </w:tbl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-36195</wp:posOffset>
          </wp:positionV>
          <wp:extent cx="365760" cy="363220"/>
          <wp:effectExtent l="0" t="0" r="0" b="2540"/>
          <wp:wrapTight wrapText="bothSides">
            <wp:wrapPolygon>
              <wp:start x="5850" y="0"/>
              <wp:lineTo x="0" y="2719"/>
              <wp:lineTo x="0" y="16766"/>
              <wp:lineTo x="6300" y="21298"/>
              <wp:lineTo x="9450" y="21298"/>
              <wp:lineTo x="14400" y="21298"/>
              <wp:lineTo x="14850" y="21298"/>
              <wp:lineTo x="20700" y="14501"/>
              <wp:lineTo x="20700" y="5891"/>
              <wp:lineTo x="17550" y="2266"/>
              <wp:lineTo x="14400" y="0"/>
              <wp:lineTo x="5850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760" cy="363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FEDD19"/>
    <w:multiLevelType w:val="singleLevel"/>
    <w:tmpl w:val="87FEDD1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7AC66BD"/>
    <w:multiLevelType w:val="singleLevel"/>
    <w:tmpl w:val="A7AC66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536930"/>
    <w:rsid w:val="00564E53"/>
    <w:rsid w:val="005D5659"/>
    <w:rsid w:val="00600C20"/>
    <w:rsid w:val="00644FE2"/>
    <w:rsid w:val="0067640C"/>
    <w:rsid w:val="006E678B"/>
    <w:rsid w:val="007757F3"/>
    <w:rsid w:val="007C1B48"/>
    <w:rsid w:val="007E6AEB"/>
    <w:rsid w:val="008973EE"/>
    <w:rsid w:val="00971600"/>
    <w:rsid w:val="009973B4"/>
    <w:rsid w:val="009C28C1"/>
    <w:rsid w:val="009F7EED"/>
    <w:rsid w:val="00A80636"/>
    <w:rsid w:val="00AF0AAB"/>
    <w:rsid w:val="00BA6A04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9A05A64"/>
    <w:rsid w:val="0ABE4080"/>
    <w:rsid w:val="0B861E46"/>
    <w:rsid w:val="0D4B7644"/>
    <w:rsid w:val="108219C2"/>
    <w:rsid w:val="10D13291"/>
    <w:rsid w:val="129F789F"/>
    <w:rsid w:val="15FD0BC2"/>
    <w:rsid w:val="164B2EDE"/>
    <w:rsid w:val="19710579"/>
    <w:rsid w:val="1AE43389"/>
    <w:rsid w:val="1E5246A7"/>
    <w:rsid w:val="20F6747B"/>
    <w:rsid w:val="25892989"/>
    <w:rsid w:val="2B1071D5"/>
    <w:rsid w:val="2CA144B6"/>
    <w:rsid w:val="2ED812C3"/>
    <w:rsid w:val="43B82D31"/>
    <w:rsid w:val="44012BC7"/>
    <w:rsid w:val="44926E98"/>
    <w:rsid w:val="462B76C6"/>
    <w:rsid w:val="493D64B5"/>
    <w:rsid w:val="4EE77173"/>
    <w:rsid w:val="50A72012"/>
    <w:rsid w:val="51BE0628"/>
    <w:rsid w:val="53DB69BC"/>
    <w:rsid w:val="5BFD0207"/>
    <w:rsid w:val="5DA36CC2"/>
    <w:rsid w:val="5E781451"/>
    <w:rsid w:val="5EA12B9A"/>
    <w:rsid w:val="60651A8B"/>
    <w:rsid w:val="679F2C77"/>
    <w:rsid w:val="693A54C3"/>
    <w:rsid w:val="6BDC3E6A"/>
    <w:rsid w:val="6DE4169C"/>
    <w:rsid w:val="6EFB611E"/>
    <w:rsid w:val="72AD40DE"/>
    <w:rsid w:val="75D47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王宁敏</cp:lastModifiedBy>
  <dcterms:modified xsi:type="dcterms:W3CDTF">2021-09-11T01:28:20Z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