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0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05"/>
        <w:gridCol w:w="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705" w:type="dxa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设备动力部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徐言军       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孙红云</w:t>
            </w:r>
          </w:p>
        </w:tc>
        <w:tc>
          <w:tcPr>
            <w:tcW w:w="884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周涛、  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9.12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/>
                <w:szCs w:val="21"/>
              </w:rPr>
              <w:t xml:space="preserve">5.3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 xml:space="preserve">6.2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6.3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6.4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/7.4/</w:t>
            </w:r>
            <w:r>
              <w:rPr>
                <w:rFonts w:hint="eastAsia" w:ascii="宋体" w:hAnsi="宋体"/>
                <w:szCs w:val="21"/>
              </w:rPr>
              <w:t>8.1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/8.3/10.1/10.2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组织的岗位、</w:t>
            </w:r>
            <w:r>
              <w:rPr>
                <w:rFonts w:hint="eastAsia"/>
                <w:lang w:val="en-US" w:eastAsia="zh-CN"/>
              </w:rPr>
              <w:t>职责权限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En5.3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设备动力部职责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eastAsia"/>
                <w:bCs/>
                <w:szCs w:val="21"/>
              </w:rPr>
              <w:t>为了实现公司整体战略目标，根据公司管理制度和要求，在副总经理/总经理助理的领导下，全面承担公司</w:t>
            </w:r>
            <w:r>
              <w:rPr>
                <w:rFonts w:hint="eastAsia" w:cs="宋体"/>
                <w:szCs w:val="21"/>
              </w:rPr>
              <w:t>设备的采购、维修、技改、管理工作；承担公司公共设备设施维修保养、</w:t>
            </w:r>
            <w:r>
              <w:rPr>
                <w:rFonts w:hint="eastAsia" w:cs="宋体"/>
              </w:rPr>
              <w:t>能源供应及服务、动力设施改造和规划以及动力安全</w:t>
            </w:r>
            <w:r>
              <w:rPr>
                <w:rFonts w:hint="eastAsia" w:cs="宋体"/>
                <w:szCs w:val="21"/>
              </w:rPr>
              <w:t>等工作</w:t>
            </w:r>
            <w:r>
              <w:rPr>
                <w:rFonts w:hint="eastAsia" w:cs="Arial"/>
                <w:bCs/>
                <w:szCs w:val="21"/>
              </w:rPr>
              <w:t>，</w:t>
            </w:r>
            <w:r>
              <w:rPr>
                <w:rFonts w:hint="eastAsia"/>
                <w:bCs/>
                <w:szCs w:val="21"/>
              </w:rPr>
              <w:t>确保生产设备的正常运转，同时</w:t>
            </w:r>
            <w:r>
              <w:rPr>
                <w:rFonts w:hint="eastAsia" w:cs="Arial"/>
                <w:bCs/>
                <w:szCs w:val="21"/>
              </w:rPr>
              <w:t>对外提供制作、维修、安装服务，</w:t>
            </w:r>
            <w:r>
              <w:rPr>
                <w:rFonts w:hint="eastAsia"/>
                <w:bCs/>
                <w:szCs w:val="21"/>
              </w:rPr>
              <w:t>以实现公司的年度生产经营目标。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 w:ascii="宋体" w:hAnsi="宋体" w:eastAsia="宋体"/>
                <w:color w:val="FF0000"/>
              </w:rPr>
              <w:t xml:space="preserve">  </w:t>
            </w:r>
            <w:r>
              <w:rPr>
                <w:rFonts w:hint="eastAsia"/>
              </w:rPr>
              <w:t>制定设备安装、验收、操作规程；三级维护保养制度、报废管理规定及细则，并监督、检查实施情况。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制定设备周期检定计划，并组织设备使用部门、计量部门、机械电气工程师实施设备周期检定及其相关工作。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监督并组织检查设备保养执行情况，做好月度考核报表，对设备维护不规范事项通报批评，同时要求立即整改，并跟踪整改落实情况。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监督并组织检查各制造部门对重关设备的点检执行情况，对点检项目进行核定，对点检人员进行培训、指导、考核。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提出设备采购需求，承担设备选型、合同谈判、合同签订，办理相关的经济审批手续、协助办理对外的经济往来事宜、设备催货等业务联系。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组织设备安装调试验收工作，办理设备入库、领用、转固等相关工作。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建立、更新设备台帐，做到帐、卡、物对应准确无误，并确保各种资料及设备档案保存完好。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承担设备申购、调拨、转让、报废和验收的纸质单据保管工作。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组织技术培训，不断提高设备管理人员、工程技术人员、维修人员、操作人员的业务素质。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根据公司生产经营的要求，组织动力能源的生产和供应，确保公司动力系统的安全、有效运行。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协助安全环保部做好特种设备的安全管理工作。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经理对职责基本明确清晰。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能源目标\</w:t>
            </w:r>
            <w:r>
              <w:rPr>
                <w:rFonts w:hint="eastAsia" w:ascii="宋体" w:hAnsi="宋体"/>
                <w:szCs w:val="21"/>
              </w:rPr>
              <w:t>能源指及其实现的策划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设备动力部执行公司的能耗指标：单位产品能耗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2020年单位产品能耗为1.31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以2020年的实际单耗为2021年的能源目标，即2021年的能源目标为：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2021年1-8月份单位产品能耗为1.27kgce/kg。</w:t>
            </w: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有上述指标来看，2020年超目标，2021年1-8月份完成了目标值。</w:t>
            </w:r>
          </w:p>
        </w:tc>
        <w:tc>
          <w:tcPr>
            <w:tcW w:w="884" w:type="dxa"/>
          </w:tcPr>
          <w:p>
            <w:pPr>
              <w:pStyle w:val="2"/>
              <w:ind w:left="0" w:leftChars="0" w:firstLine="0" w:firstLineChars="0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能源评审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提供：“成都虹波实业股份有限公司能源评审报告”2021年8月10；内容包括：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能源评审基础信息（目的和范围和边界、评审期、公司能源使用基本情况、淘汰能耗落后工艺、设备概况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公司管理体系覆盖范围包括：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水泵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生产和销售所涉及的能源管理的能源购入、能源转换、能源分配传输和能源使用活动。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评审期：2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年1月1日～20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年12月31日。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基准期：2019年1月1日～2019年</w:t>
            </w:r>
            <w:r>
              <w:rPr>
                <w:rFonts w:ascii="宋体" w:hAnsi="宋体"/>
                <w:szCs w:val="21"/>
              </w:rPr>
              <w:t>12</w:t>
            </w:r>
            <w:r>
              <w:rPr>
                <w:rFonts w:hint="eastAsia" w:ascii="宋体" w:hAnsi="宋体"/>
                <w:szCs w:val="21"/>
              </w:rPr>
              <w:t>月31日生产</w:t>
            </w:r>
            <w:r>
              <w:rPr>
                <w:rFonts w:ascii="宋体" w:hAnsi="宋体"/>
                <w:szCs w:val="21"/>
              </w:rPr>
              <w:t>周期内平均值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能源管理状况评审（能源方针目标、能源管理组织及职责、能源管理制度、能源管理、能源计量、能源统计管理、能源定额管理、近三年生产和节能技改项目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能源利用状况评审（能源消耗结构分析、用能设备能耗分析等）；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节能潜力分析和能源绩效优先改进机会识别（管理改进方法、项目改进方法）；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未来能源的消耗分析；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能源评审输出（能源绩效参数、能源基准和能源目标指标、影响主要能源使用的相关变量和参数控制）；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结论和建议（总体评价、建议）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以上内容基本满足标准要求。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能源绩效参数、能源基准的确定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6.5</w:t>
            </w:r>
          </w:p>
        </w:tc>
        <w:tc>
          <w:tcPr>
            <w:tcW w:w="10705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该企业根据2019年的生产经营情况进行分析，确定2020年的单位产品能耗为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 xml:space="preserve">。 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企业制定的能源绩效参数为：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综合能耗、和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综合能耗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</w:t>
            </w:r>
            <w:r>
              <w:rPr>
                <w:rFonts w:hint="eastAsia"/>
                <w:lang w:val="en-US" w:eastAsia="zh-CN"/>
              </w:rPr>
              <w:t>kgce/kg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能源基准以上年度实际发生值为基准。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根据能源评审报告分析：202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年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成都虹波实业股份有限公司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的能源绩效参数和能源基准确定如下;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8"/>
              <w:gridCol w:w="989"/>
              <w:gridCol w:w="2067"/>
              <w:gridCol w:w="1170"/>
              <w:gridCol w:w="1940"/>
              <w:gridCol w:w="1160"/>
              <w:gridCol w:w="1436"/>
              <w:gridCol w:w="7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" w:hRule="atLeast"/>
              </w:trPr>
              <w:tc>
                <w:tcPr>
                  <w:tcW w:w="818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序号</w:t>
                  </w:r>
                </w:p>
              </w:tc>
              <w:tc>
                <w:tcPr>
                  <w:tcW w:w="989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级别</w:t>
                  </w: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能源绩效参数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能源基准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（2019年）</w:t>
                  </w:r>
                </w:p>
              </w:tc>
              <w:tc>
                <w:tcPr>
                  <w:tcW w:w="116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能源目标</w:t>
                  </w:r>
                </w:p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436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完成时间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(2020)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67" w:hRule="atLeast"/>
              </w:trPr>
              <w:tc>
                <w:tcPr>
                  <w:tcW w:w="818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989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一</w:t>
                  </w: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单位产品综合能耗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Kgce/kg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440" w:firstLineChars="20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1160" w:type="dxa"/>
                  <w:vAlign w:val="top"/>
                </w:tcPr>
                <w:p>
                  <w:pPr>
                    <w:pStyle w:val="2"/>
                    <w:ind w:left="0" w:leftChars="0" w:firstLine="220" w:firstLineChars="10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1436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1.31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能源数据的收集策划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En6.6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cs="Times New Roman"/>
                <w:szCs w:val="22"/>
                <w:lang w:val="en-US" w:eastAsia="zh-CN"/>
              </w:rPr>
              <w:t>该企业根据能源统计和能源核算以及成本考核等因素，对能源数据的收集进行了策划，并通过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生产统计表（日报表）的形式予以展示，按照数据收集策划的要求对能源消耗进行成本核算和考核，基本满足企业能源管理的要求。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但企业并未形成文件化或准则要求，建议企业逐步改进，已与企业进行沟通。</w:t>
            </w:r>
          </w:p>
        </w:tc>
        <w:tc>
          <w:tcPr>
            <w:tcW w:w="884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运行控制、沟通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En7.4/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6.6/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8.1/9.1.1</w:t>
            </w:r>
          </w:p>
        </w:tc>
        <w:tc>
          <w:tcPr>
            <w:tcW w:w="107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设备管理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提供：设备管理制度及生产设备台账，编制了设备管理制度和生产设备台账，记录主要用能设备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85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台，对主要耗能设备进行识别，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设备清单：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主要耗能设备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（超过100kw）</w:t>
            </w:r>
          </w:p>
          <w:tbl>
            <w:tblPr>
              <w:tblStyle w:val="10"/>
              <w:tblpPr w:leftFromText="180" w:rightFromText="180" w:vertAnchor="page" w:horzAnchor="page" w:tblpX="263" w:tblpY="2507"/>
              <w:tblOverlap w:val="never"/>
              <w:tblW w:w="9800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40"/>
              <w:gridCol w:w="6650"/>
              <w:gridCol w:w="91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6" w:hRule="atLeast"/>
              </w:trPr>
              <w:tc>
                <w:tcPr>
                  <w:tcW w:w="224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部门</w:t>
                  </w:r>
                </w:p>
              </w:tc>
              <w:tc>
                <w:tcPr>
                  <w:tcW w:w="6650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设备名称</w:t>
                  </w:r>
                </w:p>
              </w:tc>
              <w:tc>
                <w:tcPr>
                  <w:tcW w:w="910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数量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四辊轧机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钼带真空/气氛烧结炉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喷雾干燥塔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真空双室淬火炉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氢气烧结炉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烧结炉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垂熔机(新)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热脱脂连续炉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特材生产部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单推板钨合金氢气氛液相烧结炉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钼粉制造部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还原炉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钼粉制造部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四管炉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钼粉制造部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氢气回收装置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制品制造部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真空感应熔炼炉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制品制造部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等静压机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9" w:hRule="atLeast"/>
              </w:trPr>
              <w:tc>
                <w:tcPr>
                  <w:tcW w:w="2240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制品制造部</w:t>
                  </w:r>
                </w:p>
              </w:tc>
              <w:tc>
                <w:tcPr>
                  <w:tcW w:w="66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高温中频感应烧结炉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righ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6</w:t>
                  </w:r>
                </w:p>
              </w:tc>
            </w:tr>
          </w:tbl>
          <w:p>
            <w:pPr>
              <w:pStyle w:val="3"/>
              <w:numPr>
                <w:ilvl w:val="0"/>
                <w:numId w:val="0"/>
              </w:numPr>
              <w:rPr>
                <w:rFonts w:hint="default" w:ascii="宋体" w:hAnsi="宋体" w:eastAsia="宋体" w:cs="Times New Roman"/>
                <w:kern w:val="2"/>
                <w:sz w:val="21"/>
                <w:szCs w:val="22"/>
                <w:highlight w:val="yellow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四、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能源计量管理：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提供：测量设备管理台账见下图</w:t>
            </w:r>
          </w:p>
          <w:tbl>
            <w:tblPr>
              <w:tblStyle w:val="10"/>
              <w:tblW w:w="912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2"/>
              <w:gridCol w:w="1517"/>
              <w:gridCol w:w="719"/>
              <w:gridCol w:w="722"/>
              <w:gridCol w:w="719"/>
              <w:gridCol w:w="719"/>
              <w:gridCol w:w="719"/>
              <w:gridCol w:w="719"/>
              <w:gridCol w:w="719"/>
              <w:gridCol w:w="721"/>
              <w:gridCol w:w="72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30" w:hRule="atLeast"/>
                <w:tblHeader/>
              </w:trPr>
              <w:tc>
                <w:tcPr>
                  <w:tcW w:w="113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分级、分项</w:t>
                  </w:r>
                </w:p>
              </w:tc>
              <w:tc>
                <w:tcPr>
                  <w:tcW w:w="1517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级或项的名称</w:t>
                  </w:r>
                </w:p>
              </w:tc>
              <w:tc>
                <w:tcPr>
                  <w:tcW w:w="6478" w:type="dxa"/>
                  <w:gridSpan w:val="9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配备的计量器具类别及数量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30" w:hRule="atLeast"/>
                <w:tblHeader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电能表</w:t>
                  </w:r>
                </w:p>
              </w:tc>
              <w:tc>
                <w:tcPr>
                  <w:tcW w:w="215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气体流量表(装置)</w:t>
                  </w:r>
                </w:p>
              </w:tc>
              <w:tc>
                <w:tcPr>
                  <w:tcW w:w="2161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水流量表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(装置)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50" w:hRule="atLeast"/>
                <w:tblHeader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应配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数量（台）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实配数量（台）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配备率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（%）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应配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数量（台）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实配数量（台）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配备率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（%）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应配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数量（台）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实配数量（台）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top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配备率</w:t>
                  </w:r>
                </w:p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int="eastAsia"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（%）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8" w:hRule="atLeast"/>
                <w:tblHeader/>
              </w:trPr>
              <w:tc>
                <w:tcPr>
                  <w:tcW w:w="11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进出用能单位</w:t>
                  </w: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成都虹波实业股份有限公司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3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3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进出主要次级用能单位</w:t>
                  </w: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20"/>
                    </w:rPr>
                    <w:t>1 钼粉制造部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jc w:val="both"/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20"/>
                    </w:rPr>
                    <w:t>2丝材部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widowControl w:val="0"/>
                    <w:spacing w:after="0"/>
                    <w:jc w:val="center"/>
                    <w:rPr>
                      <w:rFonts w:ascii="Times New Roman" w:hAnsi="Times New Roman" w:eastAsia="宋体"/>
                      <w:kern w:val="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3 制品制造部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4 军品生产部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5 设备动力部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合计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8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8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8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8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主要用能设备</w:t>
                  </w: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1钼粉制造部十五管炉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1132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宋体" w:hAnsi="宋体" w:eastAsia="宋体"/>
                      <w:kern w:val="2"/>
                      <w:sz w:val="20"/>
                      <w:szCs w:val="20"/>
                    </w:rPr>
                  </w:pPr>
                </w:p>
              </w:tc>
              <w:tc>
                <w:tcPr>
                  <w:tcW w:w="151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rPr>
                      <w:rFonts w:hAnsi="宋体"/>
                      <w:sz w:val="20"/>
                    </w:rPr>
                  </w:pPr>
                  <w:r>
                    <w:rPr>
                      <w:rFonts w:hint="eastAsia" w:hAnsi="宋体"/>
                      <w:sz w:val="20"/>
                    </w:rPr>
                    <w:t>2制品制造部中频炉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6</w:t>
                  </w:r>
                </w:p>
              </w:tc>
              <w:tc>
                <w:tcPr>
                  <w:tcW w:w="7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6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after="0"/>
                    <w:jc w:val="center"/>
                    <w:rPr>
                      <w:rFonts w:ascii="Times New Roman" w:hAnsi="Times New Roman" w:eastAsia="宋体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宋体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  <w:tc>
                <w:tcPr>
                  <w:tcW w:w="7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5"/>
                    <w:adjustRightInd w:val="0"/>
                    <w:snapToGrid w:val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/</w:t>
                  </w:r>
                </w:p>
              </w:tc>
            </w:tr>
          </w:tbl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五、淘汰能耗落后工艺、设备概况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按照国家政策法规文件识别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成都虹波实业股份有限公司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无相关能耗落后的工艺，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也无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淘汰落后设备。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能源绩效</w:t>
            </w:r>
          </w:p>
          <w:p>
            <w:pPr>
              <w:spacing w:before="120" w:beforeLines="50" w:line="360" w:lineRule="auto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2019年公司生产能源消耗实际情况：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综合能耗为866971.51kgce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2019年总产量为583662.43kg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单位产品能耗为：1.4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kgce/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both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年公司生产能源消耗实际情况：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年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综合能耗为：1193560.80kgce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2020年总产量为：857283.37kg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单位产品能耗为：1.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39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kgce/台。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2021年1月-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月用能情况如下：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2021年1-8月份，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综合能耗为：907874.13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2021年1-8月份总产量为：531931.53kg；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2021年1-8月份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单位产品综合能耗1.7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（kgce/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）；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有上述指标完成情况来看2021年1-8月份已经超过制定的目标，需要分析原因，制定节能措施。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七、现场巡视情况：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现场查看生产控制和设备运行情况，部分生产设备正在运行现场生产秩序良好，未发现跑冒滴漏现象；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现场计量设备有计量确认合格证。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00350" cy="1725930"/>
                  <wp:effectExtent l="0" t="0" r="6350" b="1270"/>
                  <wp:docPr id="52" name="图片 52" descr="e98ad7160667d0cd66ea2b139800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98ad7160667d0cd66ea2b139800d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472690" cy="1723390"/>
                  <wp:effectExtent l="0" t="0" r="3810" b="3810"/>
                  <wp:docPr id="53" name="图片 53" descr="454ca2bf0f1ef4407ea9c4819da9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454ca2bf0f1ef4407ea9c4819da9a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40685" cy="1992630"/>
                  <wp:effectExtent l="0" t="0" r="5715" b="1270"/>
                  <wp:docPr id="54" name="图片 54" descr="f1502d995473d40f9717903bd070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1502d995473d40f9717903bd070ed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71470" cy="2011680"/>
                  <wp:effectExtent l="0" t="0" r="11430" b="7620"/>
                  <wp:docPr id="55" name="图片 55" descr="db8389f569a4fcf61e306939e8c8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b8389f569a4fcf61e306939e8c86c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耗能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设备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维护保养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情况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657600" cy="2274570"/>
                  <wp:effectExtent l="0" t="0" r="0" b="11430"/>
                  <wp:docPr id="4" name="图片 4" descr="16312618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3126181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810000" cy="5080000"/>
                  <wp:effectExtent l="0" t="0" r="0" b="0"/>
                  <wp:docPr id="5" name="图片 5" descr="f05c5ee16d0169266a38a17be028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05c5ee16d0169266a38a17be0284e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设备维护保养的情况：</w:t>
            </w:r>
          </w:p>
          <w:p>
            <w:pPr>
              <w:tabs>
                <w:tab w:val="left" w:pos="1660"/>
                <w:tab w:val="center" w:pos="7286"/>
              </w:tabs>
              <w:spacing w:line="400" w:lineRule="exact"/>
              <w:jc w:val="both"/>
              <w:textAlignment w:val="baseline"/>
              <w:rPr>
                <w:rFonts w:hint="eastAsia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提供《设备维护保养规程》和《设备保养计划》并提供《设备维护保养检查表》、《设备检查表》如下图：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810000" cy="4273550"/>
                  <wp:effectExtent l="0" t="0" r="0" b="6350"/>
                  <wp:docPr id="3" name="图片 3" descr="44bba781f69502174414586ddcb64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4bba781f69502174414586ddcb649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427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810000" cy="5080000"/>
                  <wp:effectExtent l="0" t="0" r="0" b="0"/>
                  <wp:docPr id="6" name="图片 6" descr="1afda9d11d7b4a7cab36f53808bc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afda9d11d7b4a7cab36f53808bc5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810000" cy="5080000"/>
                  <wp:effectExtent l="0" t="0" r="0" b="0"/>
                  <wp:docPr id="7" name="图片 7" descr="e7c91942b039c76321f696b9f57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7c91942b039c76321f696b9f5717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ind w:left="0" w:leftChars="0" w:firstLine="0" w:firstLineChars="0"/>
            </w:pP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 xml:space="preserve"> 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不符合纠正/持续改进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En10.1/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10.2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内审不符合项：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内部审核发现1个不符合项，已经整改完毕，并制定了纠正措施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现场验证：纠正措施有效。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  <w:tc>
          <w:tcPr>
            <w:tcW w:w="884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160" w:type="dxa"/>
          </w:tcPr>
          <w:p>
            <w:pPr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采购</w:t>
            </w:r>
          </w:p>
        </w:tc>
        <w:tc>
          <w:tcPr>
            <w:tcW w:w="960" w:type="dxa"/>
          </w:tcPr>
          <w:p>
            <w:pPr>
              <w:pStyle w:val="2"/>
              <w:ind w:left="0" w:leftChars="0" w:firstLine="0" w:firstLineChars="0"/>
              <w:rPr>
                <w:rFonts w:hint="eastAsia" w:ascii="Times New Roman" w:hAnsi="Times New Roman" w:eastAsia="宋体" w:cs="Times New Roman"/>
                <w:color w:val="0000FF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FF"/>
                <w:lang w:val="en-US" w:eastAsia="zh-CN"/>
              </w:rPr>
              <w:t>En8.3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设备动力部负责能源采购工作：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抽查水电的合同：水就是自来水厂直供，气就是天然气公司直供的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，按计量表结算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。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（没有合同）</w:t>
            </w: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color w:val="0000FF"/>
                <w:lang w:val="en-US" w:eastAsia="zh-CN"/>
              </w:rPr>
            </w:pPr>
            <w:r>
              <w:drawing>
                <wp:inline distT="0" distB="0" distL="114300" distR="114300">
                  <wp:extent cx="2603500" cy="3676650"/>
                  <wp:effectExtent l="0" t="0" r="0" b="635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647950" cy="3647440"/>
                  <wp:effectExtent l="0" t="0" r="6350" b="10160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6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884" w:type="dxa"/>
          </w:tcPr>
          <w:p>
            <w:pPr>
              <w:pStyle w:val="2"/>
              <w:rPr>
                <w:rFonts w:hint="eastAsia"/>
                <w:color w:val="0000FF"/>
                <w:lang w:val="en-US" w:eastAsia="zh-CN"/>
              </w:rPr>
            </w:pPr>
          </w:p>
        </w:tc>
      </w:tr>
    </w:tbl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/>
    <w:p>
      <w:pPr>
        <w:pStyle w:val="7"/>
      </w:pPr>
    </w:p>
    <w:p>
      <w:pPr>
        <w:pStyle w:val="7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7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7"/>
        <w:rFonts w:hint="default"/>
      </w:rPr>
      <w:t>北京国标联合认证有限公司</w:t>
    </w:r>
    <w:r>
      <w:rPr>
        <w:rStyle w:val="17"/>
        <w:rFonts w:hint="default"/>
      </w:rPr>
      <w:tab/>
    </w:r>
    <w:r>
      <w:rPr>
        <w:rStyle w:val="17"/>
        <w:rFonts w:hint="default"/>
      </w:rPr>
      <w:tab/>
    </w:r>
    <w:r>
      <w:rPr>
        <w:rStyle w:val="17"/>
        <w:rFonts w:hint="default"/>
      </w:rPr>
      <w:tab/>
    </w:r>
  </w:p>
  <w:p>
    <w:pPr>
      <w:pStyle w:val="8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  <w:p/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I92SnXRAQAAjg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lNimMaBn37+&#10;OP36c/r9nSyiPL2DErPuHOaF4aMdcGke/YDOyHpovI5f5EMwjuIez+KKIRCOzvxiucwvCko4xvLi&#10;qrhM6mf/bjsP4VZYTaJRUY/DS5qyw2cI2AmmPqbEYmCVrLdSqXTw7e6T8uTAcNDb9MQm8cp/acqQ&#10;vqLXRV4kZGPj/TFPmYgj0s5M9SL1kWK0wrAbJj12tj6iHHvnZdthq0mQLCbhmFLVaaXiHjw9o/30&#10;N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EGquXWAAAACgEAAA8AAAAAAAAAAQAgAAAAIgAA&#10;AGRycy9kb3ducmV2LnhtbFBLAQIUABQAAAAIAIdO4kCPdkp10QEAAI4DAAAOAAAAAAAAAAEAIAAA&#10;ACU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rStyle w:val="17"/>
        <w:rFonts w:hint="default"/>
        <w:w w:val="90"/>
      </w:rPr>
      <w:t>Beijing International Standard united Certification Co.,Ltd.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F8C1E2"/>
    <w:multiLevelType w:val="singleLevel"/>
    <w:tmpl w:val="8CF8C1E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7E"/>
    <w:multiLevelType w:val="multilevel"/>
    <w:tmpl w:val="0000007E"/>
    <w:lvl w:ilvl="0" w:tentative="0">
      <w:start w:val="1"/>
      <w:numFmt w:val="decimal"/>
      <w:lvlText w:val="1.%1"/>
      <w:lvlJc w:val="left"/>
      <w:pPr>
        <w:tabs>
          <w:tab w:val="left" w:pos="510"/>
        </w:tabs>
        <w:ind w:left="510" w:hanging="51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5FCE0DA"/>
    <w:multiLevelType w:val="singleLevel"/>
    <w:tmpl w:val="05FCE0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B4D08ED"/>
    <w:rsid w:val="0D502897"/>
    <w:rsid w:val="0E9D36FE"/>
    <w:rsid w:val="0EC22237"/>
    <w:rsid w:val="10024BD4"/>
    <w:rsid w:val="108219C2"/>
    <w:rsid w:val="153F1A43"/>
    <w:rsid w:val="18E0378C"/>
    <w:rsid w:val="1B635529"/>
    <w:rsid w:val="1D2F1751"/>
    <w:rsid w:val="1E92443A"/>
    <w:rsid w:val="1F303612"/>
    <w:rsid w:val="22F3151F"/>
    <w:rsid w:val="23F57CAA"/>
    <w:rsid w:val="25302F06"/>
    <w:rsid w:val="25726879"/>
    <w:rsid w:val="265042EE"/>
    <w:rsid w:val="29550A82"/>
    <w:rsid w:val="2B882F6D"/>
    <w:rsid w:val="2C615A70"/>
    <w:rsid w:val="2CB52A35"/>
    <w:rsid w:val="2D5D32D6"/>
    <w:rsid w:val="2FB1706A"/>
    <w:rsid w:val="2FDA7696"/>
    <w:rsid w:val="3414352C"/>
    <w:rsid w:val="366F12A2"/>
    <w:rsid w:val="37022033"/>
    <w:rsid w:val="38F903D7"/>
    <w:rsid w:val="397A1146"/>
    <w:rsid w:val="3CCF21FA"/>
    <w:rsid w:val="3CD5120A"/>
    <w:rsid w:val="3E500208"/>
    <w:rsid w:val="3FD87230"/>
    <w:rsid w:val="435D7392"/>
    <w:rsid w:val="451658FE"/>
    <w:rsid w:val="458F6AF9"/>
    <w:rsid w:val="48EE64E2"/>
    <w:rsid w:val="49907112"/>
    <w:rsid w:val="4CC06D28"/>
    <w:rsid w:val="5062731F"/>
    <w:rsid w:val="51572643"/>
    <w:rsid w:val="51B355DC"/>
    <w:rsid w:val="51CB0431"/>
    <w:rsid w:val="52F46C88"/>
    <w:rsid w:val="56686FBC"/>
    <w:rsid w:val="56955064"/>
    <w:rsid w:val="5C527D2B"/>
    <w:rsid w:val="5DD945F3"/>
    <w:rsid w:val="5EA12B9A"/>
    <w:rsid w:val="60A703C5"/>
    <w:rsid w:val="665253F3"/>
    <w:rsid w:val="66957D31"/>
    <w:rsid w:val="6A997D30"/>
    <w:rsid w:val="6B317C7C"/>
    <w:rsid w:val="6B651E3A"/>
    <w:rsid w:val="6C3312C7"/>
    <w:rsid w:val="70F503F3"/>
    <w:rsid w:val="75532C29"/>
    <w:rsid w:val="76705E2D"/>
    <w:rsid w:val="788C0C63"/>
    <w:rsid w:val="790565FF"/>
    <w:rsid w:val="7AEC0F33"/>
    <w:rsid w:val="7CDA12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5">
    <w:name w:val="Plain Text"/>
    <w:basedOn w:val="1"/>
    <w:unhideWhenUsed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1">
    <w:name w:val="Table Grid"/>
    <w:basedOn w:val="10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框文本 字符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2</TotalTime>
  <ScaleCrop>false</ScaleCrop>
  <LinksUpToDate>false</LinksUpToDate>
  <CharactersWithSpaces>147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2021-09-15T00:31:01Z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A2A87B4AA3C04090A0C757B97B7400CA</vt:lpwstr>
  </property>
</Properties>
</file>