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Merge w:val="restart"/>
            <w:vAlign w:val="center"/>
          </w:tcPr>
          <w:p>
            <w:pPr>
              <w:ind w:firstLine="420" w:firstLineChars="200"/>
              <w:rPr>
                <w:rFonts w:hint="eastAsia"/>
                <w:szCs w:val="22"/>
                <w:lang w:val="en-US" w:eastAsia="zh-CN"/>
              </w:rPr>
            </w:pPr>
            <w:r>
              <w:rPr>
                <w:rFonts w:hint="eastAsia"/>
                <w:szCs w:val="22"/>
                <w:lang w:val="en-US" w:eastAsia="zh-CN"/>
              </w:rPr>
              <w:t>过程与活动、</w:t>
            </w:r>
          </w:p>
          <w:p>
            <w:pPr>
              <w:ind w:firstLine="420" w:firstLineChars="200"/>
              <w:rPr>
                <w:rFonts w:hint="eastAsia"/>
                <w:szCs w:val="22"/>
                <w:lang w:val="en-US" w:eastAsia="zh-CN"/>
              </w:rPr>
            </w:pPr>
            <w:r>
              <w:rPr>
                <w:rFonts w:hint="eastAsia"/>
                <w:szCs w:val="22"/>
                <w:lang w:val="en-US" w:eastAsia="zh-CN"/>
              </w:rPr>
              <w:t>抽样计划</w:t>
            </w:r>
          </w:p>
        </w:tc>
        <w:tc>
          <w:tcPr>
            <w:tcW w:w="960" w:type="dxa"/>
            <w:vMerge w:val="restart"/>
            <w:vAlign w:val="center"/>
          </w:tcPr>
          <w:p>
            <w:pPr>
              <w:rPr>
                <w:rFonts w:hint="eastAsia"/>
                <w:szCs w:val="22"/>
                <w:lang w:val="en-US" w:eastAsia="zh-CN"/>
              </w:rPr>
            </w:pPr>
            <w:r>
              <w:rPr>
                <w:rFonts w:hint="eastAsia"/>
                <w:szCs w:val="22"/>
                <w:lang w:val="en-US" w:eastAsia="zh-CN"/>
              </w:rPr>
              <w:t>涉及</w:t>
            </w:r>
          </w:p>
          <w:p>
            <w:pPr>
              <w:rPr>
                <w:rFonts w:hint="eastAsia"/>
                <w:szCs w:val="22"/>
                <w:lang w:val="en-US" w:eastAsia="zh-CN"/>
              </w:rPr>
            </w:pPr>
            <w:r>
              <w:rPr>
                <w:rFonts w:hint="eastAsia"/>
                <w:szCs w:val="22"/>
                <w:lang w:val="en-US" w:eastAsia="zh-CN"/>
              </w:rPr>
              <w:t>条款</w:t>
            </w:r>
          </w:p>
        </w:tc>
        <w:tc>
          <w:tcPr>
            <w:tcW w:w="10376" w:type="dxa"/>
            <w:vAlign w:val="center"/>
          </w:tcPr>
          <w:p>
            <w:pPr>
              <w:rPr>
                <w:rFonts w:hint="default"/>
                <w:szCs w:val="22"/>
                <w:lang w:val="en-US" w:eastAsia="zh-CN"/>
              </w:rPr>
            </w:pPr>
            <w:r>
              <w:rPr>
                <w:rFonts w:hint="eastAsia"/>
                <w:szCs w:val="22"/>
                <w:lang w:val="en-US" w:eastAsia="zh-CN"/>
              </w:rPr>
              <w:t>受审核部门：管理层    主管领导：杨伟        陪同人员： 孙红云</w:t>
            </w:r>
          </w:p>
        </w:tc>
        <w:tc>
          <w:tcPr>
            <w:tcW w:w="1213"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ind w:firstLine="420" w:firstLineChars="200"/>
              <w:rPr>
                <w:rFonts w:hint="eastAsia"/>
                <w:szCs w:val="22"/>
                <w:lang w:val="en-US" w:eastAsia="zh-CN"/>
              </w:rPr>
            </w:pPr>
          </w:p>
        </w:tc>
        <w:tc>
          <w:tcPr>
            <w:tcW w:w="960" w:type="dxa"/>
            <w:vMerge w:val="continue"/>
            <w:vAlign w:val="center"/>
          </w:tcPr>
          <w:p>
            <w:pPr>
              <w:ind w:firstLine="420" w:firstLineChars="200"/>
              <w:rPr>
                <w:rFonts w:hint="eastAsia"/>
                <w:szCs w:val="22"/>
                <w:lang w:val="en-US" w:eastAsia="zh-CN"/>
              </w:rPr>
            </w:pPr>
          </w:p>
        </w:tc>
        <w:tc>
          <w:tcPr>
            <w:tcW w:w="10376" w:type="dxa"/>
            <w:vAlign w:val="center"/>
          </w:tcPr>
          <w:p>
            <w:pPr>
              <w:rPr>
                <w:rFonts w:hint="default"/>
                <w:szCs w:val="22"/>
                <w:lang w:val="en-US" w:eastAsia="zh-CN"/>
              </w:rPr>
            </w:pPr>
            <w:r>
              <w:rPr>
                <w:rFonts w:hint="eastAsia"/>
                <w:szCs w:val="22"/>
                <w:lang w:val="en-US" w:eastAsia="zh-CN"/>
              </w:rPr>
              <w:t>审核员：王宁敏       审核时间：2021-09-09  08:30-12:00</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ind w:firstLine="420" w:firstLineChars="200"/>
              <w:rPr>
                <w:rFonts w:hint="eastAsia"/>
                <w:szCs w:val="22"/>
                <w:lang w:val="en-US" w:eastAsia="zh-CN"/>
              </w:rPr>
            </w:pPr>
          </w:p>
        </w:tc>
        <w:tc>
          <w:tcPr>
            <w:tcW w:w="960" w:type="dxa"/>
            <w:vMerge w:val="continue"/>
            <w:vAlign w:val="center"/>
          </w:tcPr>
          <w:p>
            <w:pPr>
              <w:ind w:firstLine="420" w:firstLineChars="200"/>
              <w:rPr>
                <w:rFonts w:hint="eastAsia"/>
                <w:szCs w:val="22"/>
                <w:lang w:val="en-US" w:eastAsia="zh-CN"/>
              </w:rPr>
            </w:pPr>
          </w:p>
        </w:tc>
        <w:tc>
          <w:tcPr>
            <w:tcW w:w="10376" w:type="dxa"/>
            <w:vAlign w:val="center"/>
          </w:tcPr>
          <w:p>
            <w:pPr>
              <w:rPr>
                <w:rFonts w:hint="eastAsia"/>
                <w:szCs w:val="22"/>
                <w:lang w:val="en-US" w:eastAsia="zh-CN"/>
              </w:rPr>
            </w:pPr>
            <w:r>
              <w:rPr>
                <w:rFonts w:hint="eastAsia"/>
                <w:szCs w:val="22"/>
                <w:lang w:val="en-US" w:eastAsia="zh-CN"/>
              </w:rPr>
              <w:t>审核条款： 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imes New Roman" w:hAnsi="Times New Roman" w:cs="Times New Roman"/>
                <w:szCs w:val="22"/>
                <w:lang w:val="en-US" w:eastAsia="zh-CN"/>
              </w:rPr>
              <w:t>了解公司基本情况</w:t>
            </w:r>
          </w:p>
        </w:tc>
        <w:tc>
          <w:tcPr>
            <w:tcW w:w="960" w:type="dxa"/>
          </w:tcPr>
          <w:p/>
        </w:tc>
        <w:tc>
          <w:tcPr>
            <w:tcW w:w="10376" w:type="dxa"/>
          </w:tcPr>
          <w:p>
            <w:pPr>
              <w:ind w:firstLine="420" w:firstLineChars="200"/>
              <w:rPr>
                <w:rFonts w:hint="eastAsia"/>
                <w:lang w:val="en-US" w:eastAsia="zh-CN"/>
              </w:rPr>
            </w:pPr>
            <w:r>
              <w:rPr>
                <w:rFonts w:hint="eastAsia"/>
                <w:lang w:val="en-US" w:eastAsia="zh-CN"/>
              </w:rPr>
              <w:t>成都虹波实业股份有限公司由原国营第七四五厂（成立于1965年）于1994年改制成立，1998年与厦门钨业股份有限公司重组，公司总股本7204.29万股。搬迁改造后在成都市龙泉驿区成都经济技术开发区厂区占地总面积 154771.88㎡。</w:t>
            </w:r>
          </w:p>
          <w:p>
            <w:pPr>
              <w:ind w:firstLine="420" w:firstLineChars="200"/>
              <w:rPr>
                <w:rFonts w:hint="eastAsia"/>
                <w:szCs w:val="22"/>
                <w:lang w:val="en-US" w:eastAsia="zh-CN"/>
              </w:rPr>
            </w:pPr>
            <w:bookmarkStart w:id="1" w:name="_GoBack"/>
            <w:bookmarkEnd w:id="1"/>
            <w:r>
              <w:rPr>
                <w:rFonts w:hint="eastAsia"/>
                <w:szCs w:val="22"/>
                <w:lang w:val="en-US" w:eastAsia="zh-CN"/>
              </w:rPr>
              <w:t>成都虹波实业股份有限公司主要生产销售钨、钼、复合金属材料等产品，可自行对外出口产品及相关技术。主产品钨丝、钼丝产量占国内市场需求三分之一以上。公司生产的产品主要用于电光源、电真空器件、电子元器件、电加工等领域。</w:t>
            </w:r>
          </w:p>
          <w:p>
            <w:pPr>
              <w:ind w:firstLine="420" w:firstLineChars="200"/>
              <w:rPr>
                <w:rFonts w:hint="eastAsia"/>
                <w:szCs w:val="22"/>
                <w:lang w:val="en-US" w:eastAsia="zh-CN"/>
              </w:rPr>
            </w:pPr>
            <w:r>
              <w:rPr>
                <w:rFonts w:hint="eastAsia"/>
                <w:szCs w:val="22"/>
                <w:lang w:val="en-US" w:eastAsia="zh-CN"/>
              </w:rPr>
              <w:t>公司主要顾客包括772厂、776厂、779厂、中电科12所、中国科学院电子学研究所等厂所。</w:t>
            </w:r>
          </w:p>
          <w:p>
            <w:pPr>
              <w:ind w:firstLine="420" w:firstLineChars="200"/>
              <w:rPr>
                <w:rFonts w:hint="default"/>
                <w:szCs w:val="22"/>
                <w:lang w:val="en-US" w:eastAsia="zh-CN"/>
              </w:rPr>
            </w:pPr>
            <w:r>
              <w:rPr>
                <w:rFonts w:hint="eastAsia"/>
                <w:szCs w:val="22"/>
                <w:lang w:val="en-US" w:eastAsia="zh-CN"/>
              </w:rPr>
              <w:t>成都虹波实业股份有限公司作为中国电光源、电真空用金属材料专业化生产厂家，有良好的企业管理基础和质量管理体系，多次获得国家、部、省和市级企业管理奖，产品多次获得国家、部、省优质产品称号，40瓦日光灯用钨丝是行业内唯一获得的国家质量奖（银质奖）产品。公司于1998年通过GB/T19002-1994质量管理体系认证，2003年通过GB/T19001-2000质量管理体系认证，2005年通过GJB9001A-2001军工产品质量管理体系认证，2011年通过GJB9001B-2009武器装备质量体系认证；2018年通过GB/T19001-2016质量管理体系认证和GJB9001C-2017武器装备质量体系认证。</w:t>
            </w:r>
          </w:p>
          <w:p>
            <w:pPr>
              <w:ind w:firstLine="420" w:firstLineChars="200"/>
              <w:rPr>
                <w:rFonts w:hint="eastAsia"/>
                <w:lang w:val="en-US" w:eastAsia="zh-CN"/>
              </w:rPr>
            </w:pPr>
            <w:r>
              <w:rPr>
                <w:rFonts w:hint="eastAsia"/>
                <w:lang w:val="en-US" w:eastAsia="zh-CN"/>
              </w:rPr>
              <w:t>营业执照注册地址：成都市龙泉驿区成都经济技术开发区南京路198号。</w:t>
            </w:r>
          </w:p>
          <w:p>
            <w:pPr>
              <w:ind w:firstLine="420" w:firstLineChars="200"/>
              <w:rPr>
                <w:rFonts w:hint="eastAsia"/>
                <w:lang w:val="en-US" w:eastAsia="zh-CN"/>
              </w:rPr>
            </w:pPr>
            <w:r>
              <w:rPr>
                <w:rFonts w:hint="eastAsia"/>
                <w:lang w:val="en-US" w:eastAsia="zh-CN"/>
              </w:rPr>
              <w:t>经营地址：成都市龙泉驿区成都经济技术开发区南京路198号，与生产或服务现场一致。</w:t>
            </w:r>
          </w:p>
          <w:p>
            <w:pPr>
              <w:ind w:firstLine="420" w:firstLineChars="200"/>
              <w:rPr>
                <w:rFonts w:hint="eastAsia"/>
                <w:lang w:val="en-US" w:eastAsia="zh-CN"/>
              </w:rPr>
            </w:pPr>
            <w:r>
              <w:rPr>
                <w:rFonts w:hint="eastAsia"/>
                <w:lang w:val="en-US" w:eastAsia="zh-CN"/>
              </w:rPr>
              <w:t>能源管理体系覆盖的人数总计 300 人，与认证申请一致。</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60" w:type="dxa"/>
          </w:tcPr>
          <w:p>
            <w:pPr>
              <w:rPr>
                <w:rFonts w:hint="eastAsia" w:ascii="宋体" w:hAnsi="宋体" w:cs="Times New Roman"/>
                <w:sz w:val="21"/>
                <w:szCs w:val="21"/>
                <w:lang w:val="en-US" w:eastAsia="zh-CN"/>
              </w:rPr>
            </w:pPr>
            <w:r>
              <w:rPr>
                <w:rFonts w:hint="eastAsia" w:ascii="宋体" w:hAnsi="宋体" w:eastAsia="宋体" w:cs="Times New Roman"/>
                <w:sz w:val="21"/>
                <w:szCs w:val="21"/>
                <w:lang w:val="en-US" w:eastAsia="zh-CN"/>
              </w:rPr>
              <w:t>理解组织及其所处的环境</w:t>
            </w:r>
            <w:r>
              <w:rPr>
                <w:rFonts w:hint="eastAsia" w:ascii="宋体" w:hAnsi="宋体" w:cs="Times New Roman"/>
                <w:sz w:val="21"/>
                <w:szCs w:val="21"/>
                <w:lang w:val="en-US" w:eastAsia="zh-CN"/>
              </w:rPr>
              <w:t>，</w:t>
            </w:r>
          </w:p>
          <w:p>
            <w:pPr>
              <w:rPr>
                <w:rFonts w:hint="default"/>
                <w:lang w:val="en-US"/>
              </w:rPr>
            </w:pPr>
            <w:r>
              <w:rPr>
                <w:rFonts w:hint="eastAsia" w:ascii="宋体" w:hAnsi="宋体" w:eastAsia="宋体" w:cs="Times New Roman"/>
                <w:sz w:val="21"/>
                <w:szCs w:val="21"/>
                <w:lang w:val="en-US" w:eastAsia="zh-CN"/>
              </w:rPr>
              <w:t>理解相关方的需求和期望</w:t>
            </w:r>
          </w:p>
        </w:tc>
        <w:tc>
          <w:tcPr>
            <w:tcW w:w="960" w:type="dxa"/>
          </w:tcPr>
          <w:p>
            <w:pPr>
              <w:rPr>
                <w:rFonts w:hint="default"/>
                <w:lang w:val="en-US"/>
              </w:rPr>
            </w:pPr>
            <w:r>
              <w:rPr>
                <w:rFonts w:hint="eastAsia" w:ascii="宋体" w:hAnsi="宋体" w:cs="Times New Roman"/>
                <w:sz w:val="21"/>
                <w:szCs w:val="21"/>
                <w:lang w:val="en-US" w:eastAsia="zh-CN"/>
              </w:rPr>
              <w:t>4</w:t>
            </w:r>
            <w:r>
              <w:rPr>
                <w:rFonts w:hint="eastAsia" w:ascii="宋体" w:hAnsi="宋体" w:eastAsia="宋体" w:cs="Times New Roman"/>
                <w:sz w:val="21"/>
                <w:szCs w:val="21"/>
                <w:lang w:val="en-US" w:eastAsia="zh-CN"/>
              </w:rPr>
              <w:t>.1</w:t>
            </w:r>
            <w:r>
              <w:rPr>
                <w:rFonts w:hint="eastAsia" w:ascii="宋体" w:hAnsi="宋体" w:cs="Times New Roman"/>
                <w:sz w:val="21"/>
                <w:szCs w:val="21"/>
                <w:lang w:val="en-US" w:eastAsia="zh-CN"/>
              </w:rPr>
              <w:t>/4.2</w:t>
            </w:r>
          </w:p>
        </w:tc>
        <w:tc>
          <w:tcPr>
            <w:tcW w:w="10376" w:type="dxa"/>
          </w:tcPr>
          <w:p>
            <w:pPr>
              <w:ind w:firstLine="420" w:firstLineChars="200"/>
              <w:jc w:val="left"/>
              <w:rPr>
                <w:rFonts w:hint="default"/>
                <w:lang w:val="en-US" w:eastAsia="zh-CN"/>
              </w:rPr>
            </w:pPr>
            <w:r>
              <w:rPr>
                <w:rFonts w:hint="default"/>
                <w:lang w:val="en-US" w:eastAsia="zh-CN"/>
              </w:rPr>
              <w:t>公司领导层结合公司的实际情况，充分识别外部、内部环境，以策划公司的能源管理活动，建立管理体系，改进能源绩效，以达到预期的目的。</w:t>
            </w:r>
          </w:p>
          <w:p>
            <w:pPr>
              <w:ind w:firstLine="420" w:firstLineChars="200"/>
              <w:jc w:val="left"/>
              <w:rPr>
                <w:rFonts w:hint="default"/>
                <w:lang w:val="en-US" w:eastAsia="zh-CN"/>
              </w:rPr>
            </w:pPr>
            <w:r>
              <w:rPr>
                <w:rFonts w:hint="default"/>
                <w:lang w:val="en-US" w:eastAsia="zh-CN"/>
              </w:rPr>
              <w:t xml:space="preserve">公司确定《组织环境与相关方要求控制程序》，与其宗旨有关的外部和内部问题，这些问题影响其实现其能源管理预期结果和改进其能源性能的能力。公司领导层在了解和识别内外部因素时，应充分考虑企业活动、产品和服务提供过程中发生相互作用的因素，并基于生命周期的观点实施能源因素的管理。公司领导层应采用适宜的方法，如定期召开经营管理会议，对这些内部和外部因素的中高风险进行监视和评审，确保充分识别、消除，降低或减缓风险，充分利用可能的发展机遇，保证实现企业效益及能源管理体系预期结果。 </w:t>
            </w:r>
          </w:p>
          <w:p>
            <w:pPr>
              <w:ind w:firstLine="420" w:firstLineChars="200"/>
              <w:jc w:val="left"/>
              <w:rPr>
                <w:rFonts w:hint="eastAsia"/>
                <w:lang w:val="en-US" w:eastAsia="zh-CN"/>
              </w:rPr>
            </w:pPr>
            <w:r>
              <w:rPr>
                <w:rFonts w:hint="default"/>
                <w:lang w:val="en-US" w:eastAsia="zh-CN"/>
              </w:rPr>
              <w:t>公司还确定了与能源绩效和能源管理体系有关的相关方，识别相关方的有关需求和期望，制订出双方共赢的发展方案。</w:t>
            </w:r>
            <w:r>
              <w:rPr>
                <w:rFonts w:hint="eastAsia"/>
                <w:lang w:val="en-US" w:eastAsia="zh-CN"/>
              </w:rPr>
              <w:t>公司的相关方有：识别的能源管理体系相关方为：顾客、供应商、员工、审核方、政府机构等。</w:t>
            </w:r>
          </w:p>
          <w:p>
            <w:pPr>
              <w:ind w:firstLine="420" w:firstLineChars="200"/>
              <w:jc w:val="left"/>
              <w:rPr>
                <w:rFonts w:hint="eastAsia" w:eastAsia="宋体"/>
                <w:lang w:val="en-US" w:eastAsia="zh-CN"/>
              </w:rPr>
            </w:pPr>
            <w:r>
              <w:rPr>
                <w:rFonts w:hint="eastAsia"/>
                <w:lang w:val="en-US" w:eastAsia="zh-CN"/>
              </w:rPr>
              <w:t>公司每年都对相关方客及其要求评审一次，发生变化时，采取措施应对</w:t>
            </w:r>
            <w:r>
              <w:rPr>
                <w:rFonts w:hint="eastAsia"/>
                <w:kern w:val="0"/>
                <w:szCs w:val="21"/>
                <w:lang w:val="en-US" w:eastAsia="zh-CN"/>
              </w:rPr>
              <w:t>等。</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r>
              <w:rPr>
                <w:rFonts w:hint="eastAsia" w:ascii="宋体" w:hAnsi="宋体" w:eastAsia="宋体" w:cs="Times New Roman"/>
                <w:sz w:val="21"/>
                <w:szCs w:val="21"/>
                <w:lang w:val="en-US" w:eastAsia="zh-CN"/>
              </w:rPr>
              <w:t>确定能源管理体系的范围</w:t>
            </w:r>
          </w:p>
        </w:tc>
        <w:tc>
          <w:tcPr>
            <w:tcW w:w="960" w:type="dxa"/>
          </w:tcPr>
          <w:p>
            <w:pPr>
              <w:rPr>
                <w:rFonts w:hint="eastAsia" w:eastAsia="宋体"/>
                <w:lang w:eastAsia="zh-CN"/>
              </w:rPr>
            </w:pPr>
            <w:r>
              <w:rPr>
                <w:rFonts w:hint="eastAsia" w:ascii="宋体" w:hAnsi="宋体" w:cs="Times New Roman"/>
                <w:sz w:val="21"/>
                <w:szCs w:val="21"/>
                <w:lang w:val="en-US" w:eastAsia="zh-CN"/>
              </w:rPr>
              <w:t>4</w:t>
            </w:r>
            <w:r>
              <w:rPr>
                <w:rFonts w:hint="eastAsia" w:ascii="宋体" w:hAnsi="宋体" w:eastAsia="宋体" w:cs="Times New Roman"/>
                <w:sz w:val="21"/>
                <w:szCs w:val="21"/>
              </w:rPr>
              <w:t>.</w:t>
            </w:r>
            <w:r>
              <w:rPr>
                <w:rFonts w:hint="eastAsia" w:ascii="宋体" w:hAnsi="宋体" w:cs="Times New Roman"/>
                <w:sz w:val="21"/>
                <w:szCs w:val="21"/>
                <w:lang w:val="en-US" w:eastAsia="zh-CN"/>
              </w:rPr>
              <w:t>3</w:t>
            </w:r>
          </w:p>
        </w:tc>
        <w:tc>
          <w:tcPr>
            <w:tcW w:w="10376" w:type="dxa"/>
          </w:tcPr>
          <w:p>
            <w:pPr>
              <w:ind w:firstLine="420" w:firstLineChars="200"/>
              <w:rPr>
                <w:rFonts w:hint="eastAsia"/>
                <w:lang w:val="en-US" w:eastAsia="zh-CN"/>
              </w:rPr>
            </w:pPr>
            <w:r>
              <w:rPr>
                <w:rFonts w:hint="eastAsia"/>
                <w:lang w:val="en-US" w:eastAsia="zh-CN"/>
              </w:rPr>
              <w:t>公司能源管理体系的边界和范围：</w:t>
            </w:r>
          </w:p>
          <w:p>
            <w:pPr>
              <w:ind w:firstLine="420" w:firstLineChars="200"/>
              <w:rPr>
                <w:rFonts w:hint="eastAsia"/>
                <w:lang w:val="en-US" w:eastAsia="zh-CN"/>
              </w:rPr>
            </w:pPr>
            <w:r>
              <w:t>成都虹波实业股份有限公司</w:t>
            </w:r>
            <w:r>
              <w:rPr>
                <w:rFonts w:hint="eastAsia"/>
                <w:lang w:val="en-US" w:eastAsia="zh-CN"/>
              </w:rPr>
              <w:t>的钨、钼产品的设计、生产和售后服务所涉及的能源管理活动。</w:t>
            </w:r>
          </w:p>
          <w:p>
            <w:pPr>
              <w:ind w:firstLine="420" w:firstLineChars="200"/>
              <w:rPr>
                <w:rFonts w:hint="eastAsia"/>
                <w:lang w:val="en-US" w:eastAsia="zh-CN"/>
              </w:rPr>
            </w:pPr>
            <w:r>
              <w:rPr>
                <w:rFonts w:hint="eastAsia"/>
                <w:lang w:val="en-US" w:eastAsia="zh-CN"/>
              </w:rPr>
              <w:t>核算边界：位于成都市龙泉驿区成都经济技术开发区南京路198号的</w:t>
            </w:r>
            <w:bookmarkStart w:id="0" w:name="组织名称"/>
            <w:r>
              <w:t>成都虹波实业股份有限公司</w:t>
            </w:r>
            <w:bookmarkEnd w:id="0"/>
            <w:r>
              <w:rPr>
                <w:rFonts w:hint="eastAsia"/>
                <w:lang w:val="en-US" w:eastAsia="zh-CN"/>
              </w:rPr>
              <w:t>的电钨、钼产品的设计、生产和售后服务所涉及的能源管理活动，该活动涵盖了能源购入、转换、输送、使用所涉及的生产系统、辅助生产系统和附属生产系统活动全过程。</w:t>
            </w:r>
          </w:p>
          <w:p>
            <w:pPr>
              <w:pStyle w:val="2"/>
              <w:rPr>
                <w:rFonts w:hint="default"/>
                <w:lang w:val="en-US" w:eastAsia="zh-CN"/>
              </w:rPr>
            </w:pPr>
            <w:r>
              <w:rPr>
                <w:rFonts w:hint="eastAsia"/>
                <w:lang w:val="en-US" w:eastAsia="zh-CN"/>
              </w:rPr>
              <w:t xml:space="preserve">    </w:t>
            </w:r>
            <w:r>
              <w:rPr>
                <w:rFonts w:hint="eastAsia" w:ascii="Times New Roman" w:hAnsi="Times New Roman" w:eastAsia="宋体" w:cs="Times New Roman"/>
                <w:kern w:val="2"/>
                <w:sz w:val="21"/>
                <w:szCs w:val="22"/>
                <w:lang w:val="en-US" w:eastAsia="zh-CN" w:bidi="ar-SA"/>
              </w:rPr>
              <w:t>本</w:t>
            </w:r>
            <w:r>
              <w:rPr>
                <w:rFonts w:hint="eastAsia" w:eastAsia="宋体" w:cs="Times New Roman"/>
                <w:kern w:val="2"/>
                <w:sz w:val="21"/>
                <w:szCs w:val="22"/>
                <w:lang w:val="en-US" w:eastAsia="zh-CN" w:bidi="ar-SA"/>
              </w:rPr>
              <w:t>公司</w:t>
            </w:r>
            <w:r>
              <w:rPr>
                <w:rFonts w:hint="eastAsia" w:ascii="Times New Roman" w:hAnsi="Times New Roman" w:eastAsia="宋体" w:cs="Times New Roman"/>
                <w:kern w:val="2"/>
                <w:sz w:val="21"/>
                <w:szCs w:val="22"/>
                <w:lang w:val="en-US" w:eastAsia="zh-CN" w:bidi="ar-SA"/>
              </w:rPr>
              <w:t>计算能耗的依据为：《GB 31340 2014 钨精矿单位产品能源消耗限额》、《GB 29146-2012 钼精矿单位产品能源消耗限额》</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能源管理体系的建立与策划</w:t>
            </w:r>
          </w:p>
        </w:tc>
        <w:tc>
          <w:tcPr>
            <w:tcW w:w="960" w:type="dxa"/>
          </w:tcPr>
          <w:p>
            <w:pPr>
              <w:rPr>
                <w:rFonts w:hint="default" w:ascii="宋体" w:hAnsi="宋体" w:cs="Times New Roman"/>
                <w:sz w:val="21"/>
                <w:szCs w:val="21"/>
                <w:lang w:val="en-US" w:eastAsia="zh-CN"/>
              </w:rPr>
            </w:pPr>
            <w:r>
              <w:rPr>
                <w:rFonts w:hint="eastAsia" w:ascii="宋体" w:hAnsi="宋体" w:cs="Times New Roman"/>
                <w:sz w:val="21"/>
                <w:szCs w:val="21"/>
                <w:lang w:val="en-US" w:eastAsia="zh-CN"/>
              </w:rPr>
              <w:t>4.4</w:t>
            </w:r>
          </w:p>
        </w:tc>
        <w:tc>
          <w:tcPr>
            <w:tcW w:w="10376" w:type="dxa"/>
          </w:tcPr>
          <w:p>
            <w:pPr>
              <w:ind w:firstLine="400" w:firstLineChars="200"/>
              <w:rPr>
                <w:rFonts w:hint="eastAsia"/>
                <w:sz w:val="20"/>
                <w:lang w:val="en-US" w:eastAsia="zh-CN"/>
              </w:rPr>
            </w:pPr>
            <w:r>
              <w:rPr>
                <w:rFonts w:hint="eastAsia"/>
                <w:sz w:val="20"/>
                <w:lang w:val="en-US" w:eastAsia="zh-CN"/>
              </w:rPr>
              <w:t>公司总经理</w:t>
            </w:r>
            <w:r>
              <w:rPr>
                <w:rFonts w:hint="eastAsia"/>
                <w:b/>
                <w:bCs/>
                <w:sz w:val="20"/>
                <w:lang w:val="en-US" w:eastAsia="zh-CN"/>
              </w:rPr>
              <w:t>杨伟</w:t>
            </w:r>
            <w:r>
              <w:rPr>
                <w:rFonts w:hint="eastAsia"/>
                <w:sz w:val="20"/>
                <w:lang w:val="en-US" w:eastAsia="zh-CN"/>
              </w:rPr>
              <w:t>重视节能降耗工作，具体负责能源管理工作。为了系统高效地开展节约能源工作，使公司原有的节能管理更加系统化、规范化、标准化，公司根据GB/T 23332-2020 idt ISO 50001:2018《能源管理体系 要求及使用指南》RB/T 117-2014 《能源管理体系有色金属企业认证要求》GB 31340 2014 《钨精矿单位产品能源消耗限额》GB 29146-2012 《钼精矿单位产品能源消耗限额》标准及国家相关法律法规，充分结合本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2021年2月1日正式实施运行以来，至今已取得较好的能源绩效 。</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领导作用和承诺</w:t>
            </w:r>
          </w:p>
        </w:tc>
        <w:tc>
          <w:tcPr>
            <w:tcW w:w="960" w:type="dxa"/>
          </w:tcPr>
          <w:p>
            <w:pPr>
              <w:rPr>
                <w:rFonts w:hint="eastAsia" w:ascii="宋体" w:hAnsi="宋体" w:cs="Times New Roman"/>
                <w:sz w:val="21"/>
                <w:szCs w:val="21"/>
                <w:lang w:val="en-US" w:eastAsia="zh-CN"/>
              </w:rPr>
            </w:pPr>
            <w:r>
              <w:rPr>
                <w:rFonts w:hint="eastAsia" w:ascii="宋体" w:hAnsi="宋体" w:eastAsia="宋体" w:cs="Times New Roman"/>
                <w:sz w:val="21"/>
                <w:szCs w:val="21"/>
                <w:lang w:val="en-US" w:eastAsia="zh-CN"/>
              </w:rPr>
              <w:t xml:space="preserve">5.1 </w:t>
            </w:r>
          </w:p>
        </w:tc>
        <w:tc>
          <w:tcPr>
            <w:tcW w:w="10376" w:type="dxa"/>
          </w:tcPr>
          <w:p>
            <w:pPr>
              <w:ind w:firstLine="400" w:firstLineChars="200"/>
              <w:rPr>
                <w:rFonts w:hint="eastAsia"/>
                <w:sz w:val="20"/>
                <w:lang w:val="en-US" w:eastAsia="zh-CN"/>
              </w:rPr>
            </w:pPr>
            <w:r>
              <w:rPr>
                <w:rFonts w:hint="eastAsia"/>
                <w:sz w:val="20"/>
                <w:lang w:val="en-US" w:eastAsia="zh-CN"/>
              </w:rPr>
              <w:t>公司总经理（最高管理者）在《能源管理手册》中承诺支持能源管理体系，并持续改进能源管理体系的有效性，通过贯彻落实国家及政府各项能源法规和政策、组建能源管理团队、建立能源方针、目标和能源指标、确保提供能源管理体系所需的资源、确保能源管理措施计划得以批准和实施、促进能源绩效和能源管理体系的持续改进、指导并支持员工为能源管理体系的有效性和能源绩效改进做出贡献等活动得以落实，均符合标准的要求。</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能源方针</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5.2 </w:t>
            </w:r>
          </w:p>
        </w:tc>
        <w:tc>
          <w:tcPr>
            <w:tcW w:w="10376" w:type="dxa"/>
          </w:tcPr>
          <w:p>
            <w:pPr>
              <w:ind w:firstLine="400" w:firstLineChars="200"/>
              <w:rPr>
                <w:rFonts w:hint="eastAsia"/>
                <w:sz w:val="20"/>
                <w:lang w:val="en-US" w:eastAsia="zh-CN"/>
              </w:rPr>
            </w:pPr>
            <w:r>
              <w:rPr>
                <w:rFonts w:hint="eastAsia"/>
                <w:sz w:val="20"/>
                <w:lang w:val="en-US" w:eastAsia="zh-CN"/>
              </w:rPr>
              <w:t xml:space="preserve">公司能源管理方针： </w:t>
            </w:r>
          </w:p>
          <w:p>
            <w:pPr>
              <w:ind w:firstLine="402" w:firstLineChars="200"/>
              <w:rPr>
                <w:rFonts w:hint="eastAsia"/>
                <w:sz w:val="20"/>
                <w:lang w:val="en-US" w:eastAsia="zh-CN"/>
              </w:rPr>
            </w:pPr>
            <w:r>
              <w:rPr>
                <w:rFonts w:hint="eastAsia"/>
                <w:b/>
                <w:bCs/>
                <w:sz w:val="20"/>
                <w:lang w:val="en-US" w:eastAsia="zh-CN"/>
              </w:rPr>
              <w:t>遵守法规  清洁生产  创新改造  提高能效。</w:t>
            </w:r>
          </w:p>
          <w:p>
            <w:pPr>
              <w:ind w:firstLine="400" w:firstLineChars="200"/>
              <w:rPr>
                <w:rFonts w:hint="default"/>
                <w:sz w:val="20"/>
                <w:lang w:val="en-US" w:eastAsia="zh-CN"/>
              </w:rPr>
            </w:pPr>
            <w:r>
              <w:rPr>
                <w:rFonts w:hint="eastAsia"/>
                <w:sz w:val="20"/>
                <w:lang w:val="en-US" w:eastAsia="zh-CN"/>
              </w:rPr>
              <w:t>能源方针内容基本符合标准要求和企业实际。能源方针由总经理批准发布，以书面、电子媒介、宣传栏等方式，便于员工、顾客及其他相关方所获取，并且予以评审。</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组织的岗位、职责和权限</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5.3 </w:t>
            </w:r>
          </w:p>
        </w:tc>
        <w:tc>
          <w:tcPr>
            <w:tcW w:w="10376" w:type="dxa"/>
          </w:tcPr>
          <w:p>
            <w:pPr>
              <w:ind w:firstLine="400" w:firstLineChars="200"/>
              <w:rPr>
                <w:rFonts w:hint="default"/>
                <w:sz w:val="20"/>
                <w:lang w:val="en-US" w:eastAsia="zh-CN"/>
              </w:rPr>
            </w:pPr>
            <w:r>
              <w:rPr>
                <w:rFonts w:hint="eastAsia"/>
                <w:sz w:val="20"/>
                <w:lang w:val="en-US" w:eastAsia="zh-CN"/>
              </w:rPr>
              <w:t>公司成立能源管理团队。</w:t>
            </w:r>
          </w:p>
          <w:p>
            <w:pPr>
              <w:ind w:firstLine="400" w:firstLineChars="200"/>
              <w:rPr>
                <w:rFonts w:hint="eastAsia"/>
                <w:sz w:val="20"/>
                <w:lang w:val="en-US" w:eastAsia="zh-CN"/>
              </w:rPr>
            </w:pPr>
            <w:r>
              <w:rPr>
                <w:rFonts w:hint="eastAsia"/>
                <w:sz w:val="20"/>
                <w:lang w:val="en-US" w:eastAsia="zh-CN"/>
              </w:rPr>
              <w:t xml:space="preserve">具体负责以下工作： </w:t>
            </w:r>
          </w:p>
          <w:p>
            <w:pPr>
              <w:ind w:firstLine="400" w:firstLineChars="200"/>
              <w:rPr>
                <w:rFonts w:hint="eastAsia"/>
                <w:sz w:val="20"/>
                <w:lang w:val="en-US" w:eastAsia="zh-CN"/>
              </w:rPr>
            </w:pPr>
            <w:r>
              <w:rPr>
                <w:rFonts w:hint="eastAsia"/>
                <w:sz w:val="20"/>
                <w:lang w:val="en-US" w:eastAsia="zh-CN"/>
              </w:rPr>
              <w:t>a)确保环境管理体系的建立、实施、维护和持续改进;</w:t>
            </w:r>
          </w:p>
          <w:p>
            <w:pPr>
              <w:ind w:firstLine="400" w:firstLineChars="200"/>
              <w:rPr>
                <w:rFonts w:hint="eastAsia"/>
                <w:sz w:val="20"/>
                <w:lang w:val="en-US" w:eastAsia="zh-CN"/>
              </w:rPr>
            </w:pPr>
            <w:r>
              <w:rPr>
                <w:rFonts w:hint="eastAsia"/>
                <w:sz w:val="20"/>
                <w:lang w:val="en-US" w:eastAsia="zh-CN"/>
              </w:rPr>
              <w:t>b)确保能源管理体系符合本文件的要求;</w:t>
            </w:r>
          </w:p>
          <w:p>
            <w:pPr>
              <w:ind w:firstLine="400" w:firstLineChars="200"/>
              <w:rPr>
                <w:rFonts w:hint="eastAsia"/>
                <w:sz w:val="20"/>
                <w:lang w:val="en-US" w:eastAsia="zh-CN"/>
              </w:rPr>
            </w:pPr>
            <w:r>
              <w:rPr>
                <w:rFonts w:hint="eastAsia"/>
                <w:sz w:val="20"/>
                <w:lang w:val="en-US" w:eastAsia="zh-CN"/>
              </w:rPr>
              <w:t>c)执行行动计划，持续改善能源性能;</w:t>
            </w:r>
          </w:p>
          <w:p>
            <w:pPr>
              <w:ind w:firstLine="400" w:firstLineChars="200"/>
              <w:rPr>
                <w:rFonts w:hint="eastAsia"/>
                <w:sz w:val="20"/>
                <w:lang w:val="en-US" w:eastAsia="zh-CN"/>
              </w:rPr>
            </w:pPr>
            <w:r>
              <w:rPr>
                <w:rFonts w:hint="eastAsia"/>
                <w:sz w:val="20"/>
                <w:lang w:val="en-US" w:eastAsia="zh-CN"/>
              </w:rPr>
              <w:t>d)定期向最高管理层汇报能源管理体系的绩效和能源绩效的改善情况;</w:t>
            </w:r>
          </w:p>
          <w:p>
            <w:pPr>
              <w:ind w:firstLine="400" w:firstLineChars="200"/>
              <w:rPr>
                <w:rFonts w:hint="eastAsia"/>
                <w:sz w:val="20"/>
                <w:lang w:val="en-US" w:eastAsia="zh-CN"/>
              </w:rPr>
            </w:pPr>
            <w:r>
              <w:rPr>
                <w:rFonts w:hint="eastAsia"/>
                <w:sz w:val="20"/>
                <w:lang w:val="en-US" w:eastAsia="zh-CN"/>
              </w:rPr>
              <w:t>e)建立标准和方法，以确保能源管理体系的操作和控制是有效的。</w:t>
            </w:r>
          </w:p>
          <w:p>
            <w:pPr>
              <w:ind w:firstLine="400" w:firstLineChars="200"/>
              <w:rPr>
                <w:rFonts w:hint="eastAsia"/>
                <w:sz w:val="20"/>
                <w:lang w:val="en-US" w:eastAsia="zh-CN"/>
              </w:rPr>
            </w:pPr>
            <w:r>
              <w:rPr>
                <w:rFonts w:hint="eastAsia"/>
                <w:sz w:val="20"/>
                <w:lang w:val="en-US" w:eastAsia="zh-CN"/>
              </w:rPr>
              <w:t>公司设有质量管理部、人力资源部、制品制造部、财务部、安全环保部、丝材部、制品经营部、技术中心、特材生产部、设备动力部、钼粉制造部、钼份经营部等，从管理层到各部门、各岗位能源职责权限均以文件化予以规定（在《能源管理手册》5.3条款中予以规定），编审批齐全。</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应对风险和机遇的措施</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6.1</w:t>
            </w:r>
          </w:p>
        </w:tc>
        <w:tc>
          <w:tcPr>
            <w:tcW w:w="10376" w:type="dxa"/>
          </w:tcPr>
          <w:p>
            <w:pPr>
              <w:ind w:firstLine="400" w:firstLineChars="200"/>
              <w:rPr>
                <w:rFonts w:hint="eastAsia"/>
                <w:sz w:val="20"/>
                <w:lang w:val="en-US" w:eastAsia="zh-CN"/>
              </w:rPr>
            </w:pPr>
            <w:r>
              <w:rPr>
                <w:rFonts w:hint="eastAsia"/>
                <w:sz w:val="20"/>
                <w:lang w:val="en-US" w:eastAsia="zh-CN"/>
              </w:rPr>
              <w:t>公司管理层有一定的风险意识，将风险和机遇作为高层战略决策的重要内容，公司制定《风险与机遇控制程序》，特别在涉及公司发展和新材料、新技术引用以及节能技术改造投资上能够充分识别风险和机遇，预测潜在的问题及其后果，以便在发生不利影响之前采取预防措施。同样，可识别和追踪可能提供潜在优势或有益结果的有利考量或环境。</w:t>
            </w:r>
          </w:p>
          <w:p>
            <w:pPr>
              <w:ind w:firstLine="400" w:firstLineChars="200"/>
              <w:rPr>
                <w:rFonts w:hint="eastAsia"/>
                <w:sz w:val="20"/>
                <w:lang w:val="en-US" w:eastAsia="zh-CN"/>
              </w:rPr>
            </w:pPr>
            <w:r>
              <w:rPr>
                <w:rFonts w:hint="eastAsia"/>
                <w:sz w:val="20"/>
                <w:lang w:val="en-US" w:eastAsia="zh-CN"/>
              </w:rPr>
              <w:t>策划能源管理体系时，应考虑应对风险和机遇，并对影响能源绩效的组织活动和过程进行评审。策划应与能源方针保持一致，并应形成持续改进能源绩效的措施。应确定需要应对的风险和机遇。</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资源</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7.1 </w:t>
            </w:r>
          </w:p>
        </w:tc>
        <w:tc>
          <w:tcPr>
            <w:tcW w:w="10376" w:type="dxa"/>
          </w:tcPr>
          <w:p>
            <w:pPr>
              <w:ind w:firstLine="400" w:firstLineChars="200"/>
              <w:rPr>
                <w:rFonts w:hint="eastAsia"/>
                <w:color w:val="000000" w:themeColor="text1"/>
                <w:sz w:val="20"/>
                <w:lang w:val="en-US" w:eastAsia="zh-CN"/>
              </w:rPr>
            </w:pPr>
            <w:r>
              <w:rPr>
                <w:rFonts w:hint="eastAsia"/>
                <w:color w:val="000000" w:themeColor="text1"/>
                <w:sz w:val="20"/>
                <w:lang w:val="en-US" w:eastAsia="zh-CN"/>
              </w:rPr>
              <w:t>本公司注册资金：7204.29万元；公司配置有公司配置有原子吸收分光光度计、ICP、比表面仪、氧氮仪、碳硫仪、扫描电镜、超声波探伤机、三坐标测量机等高端或检验装备。厂区占地总面积 154771.88㎡。</w:t>
            </w:r>
          </w:p>
          <w:p>
            <w:pPr>
              <w:ind w:firstLine="400" w:firstLineChars="200"/>
              <w:rPr>
                <w:rFonts w:hint="default"/>
                <w:sz w:val="20"/>
                <w:lang w:val="en-US" w:eastAsia="zh-CN"/>
              </w:rPr>
            </w:pPr>
            <w:r>
              <w:rPr>
                <w:rFonts w:hint="eastAsia"/>
                <w:sz w:val="20"/>
                <w:lang w:val="en-US" w:eastAsia="zh-CN"/>
              </w:rPr>
              <w:t>1、提供《虹波主要用能设备》，经识别排查配置有13台主要耗能设备。满足实际生产要求。</w:t>
            </w:r>
          </w:p>
          <w:p>
            <w:pPr>
              <w:ind w:firstLine="400" w:firstLineChars="200"/>
              <w:rPr>
                <w:rFonts w:hint="eastAsia"/>
                <w:sz w:val="20"/>
                <w:lang w:val="en-US" w:eastAsia="zh-CN"/>
              </w:rPr>
            </w:pPr>
            <w:r>
              <w:rPr>
                <w:rFonts w:hint="eastAsia"/>
                <w:sz w:val="20"/>
                <w:lang w:val="en-US" w:eastAsia="zh-CN"/>
              </w:rPr>
              <w:t>2、提供有能源一、二、三级计量器具台账。</w:t>
            </w:r>
          </w:p>
          <w:p>
            <w:pPr>
              <w:ind w:firstLine="400" w:firstLineChars="200"/>
              <w:rPr>
                <w:rFonts w:hint="eastAsia"/>
                <w:sz w:val="20"/>
                <w:lang w:val="en-US" w:eastAsia="zh-CN"/>
              </w:rPr>
            </w:pPr>
            <w:r>
              <w:rPr>
                <w:rFonts w:hint="eastAsia"/>
                <w:sz w:val="20"/>
                <w:lang w:val="en-US" w:eastAsia="zh-CN"/>
              </w:rPr>
              <w:t>公司有一支经验丰富的专业研发团队，公司现有员工358名，其中177余人拥有大专以上文凭，20多人拥有高级职称。经核实涉及能源管理体系覆盖员工约300人，管理人员44 人；操作人员 189 人；劳务派遣人员75 人；临时工0人；季节工0人。</w:t>
            </w:r>
          </w:p>
          <w:p>
            <w:pPr>
              <w:ind w:firstLine="400" w:firstLineChars="200"/>
              <w:rPr>
                <w:rFonts w:hint="eastAsia"/>
                <w:sz w:val="20"/>
                <w:lang w:val="en-US" w:eastAsia="zh-CN"/>
              </w:rPr>
            </w:pPr>
            <w:r>
              <w:rPr>
                <w:rFonts w:hint="eastAsia"/>
                <w:sz w:val="20"/>
                <w:lang w:val="en-US" w:eastAsia="zh-CN"/>
              </w:rPr>
              <w:t>资源配置能够满足建立、实施、保持和持续改进能源绩效和能源管理体系的有效运行。</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管理评审</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9.3 </w:t>
            </w:r>
          </w:p>
        </w:tc>
        <w:tc>
          <w:tcPr>
            <w:tcW w:w="10376" w:type="dxa"/>
          </w:tcPr>
          <w:p>
            <w:pPr>
              <w:ind w:firstLine="400" w:firstLineChars="200"/>
              <w:rPr>
                <w:rFonts w:hint="default"/>
                <w:sz w:val="20"/>
                <w:lang w:val="en-US" w:eastAsia="zh-CN"/>
              </w:rPr>
            </w:pPr>
            <w:r>
              <w:rPr>
                <w:rFonts w:hint="eastAsia"/>
                <w:sz w:val="20"/>
                <w:lang w:val="en-US" w:eastAsia="zh-CN"/>
              </w:rPr>
              <w:t>提供《En/HB-CX-13管理评审程序》，有编审批。</w:t>
            </w:r>
          </w:p>
          <w:p>
            <w:pPr>
              <w:ind w:firstLine="400" w:firstLineChars="200"/>
              <w:rPr>
                <w:rFonts w:hint="eastAsia"/>
                <w:sz w:val="20"/>
                <w:lang w:val="en-US" w:eastAsia="zh-CN"/>
              </w:rPr>
            </w:pPr>
            <w:r>
              <w:rPr>
                <w:rFonts w:hint="eastAsia"/>
                <w:sz w:val="20"/>
                <w:lang w:val="en-US" w:eastAsia="zh-CN"/>
              </w:rPr>
              <w:t>1、公司自能源管理体系运行以来组织了一次管理评审，日期： 2021年7月30日。</w:t>
            </w:r>
          </w:p>
          <w:p>
            <w:pPr>
              <w:ind w:firstLine="400" w:firstLineChars="200"/>
              <w:rPr>
                <w:rFonts w:hint="eastAsia"/>
                <w:sz w:val="20"/>
                <w:lang w:val="en-US" w:eastAsia="zh-CN"/>
              </w:rPr>
            </w:pPr>
            <w:r>
              <w:rPr>
                <w:rFonts w:hint="eastAsia"/>
                <w:sz w:val="20"/>
                <w:lang w:val="en-US" w:eastAsia="zh-CN"/>
              </w:rPr>
              <w:t>采用会议形式，总经理杨伟主持会议。</w:t>
            </w:r>
          </w:p>
          <w:p>
            <w:pPr>
              <w:ind w:firstLine="400" w:firstLineChars="200"/>
              <w:rPr>
                <w:rFonts w:hint="default"/>
                <w:sz w:val="20"/>
                <w:lang w:val="en-US" w:eastAsia="zh-CN"/>
              </w:rPr>
            </w:pPr>
            <w:r>
              <w:rPr>
                <w:rFonts w:hint="eastAsia"/>
                <w:sz w:val="20"/>
                <w:lang w:val="en-US" w:eastAsia="zh-CN"/>
              </w:rPr>
              <w:t>2、提供：管理评审档案，含  1.管理评审计划、2.管理评审报告、3.签到表、各部门管理评审输入资料，编审批齐全。</w:t>
            </w:r>
          </w:p>
          <w:p>
            <w:pPr>
              <w:ind w:firstLine="400" w:firstLineChars="200"/>
              <w:rPr>
                <w:rFonts w:hint="eastAsia"/>
                <w:sz w:val="20"/>
                <w:lang w:val="en-US" w:eastAsia="zh-CN"/>
              </w:rPr>
            </w:pPr>
            <w:r>
              <w:rPr>
                <w:rFonts w:hint="eastAsia"/>
                <w:sz w:val="20"/>
                <w:lang w:val="en-US" w:eastAsia="zh-CN"/>
              </w:rPr>
              <w:t>出示“管理评审会议签到表”总经理、中层以上负责人参加并签到；</w:t>
            </w:r>
          </w:p>
          <w:p>
            <w:pPr>
              <w:pStyle w:val="2"/>
              <w:jc w:val="center"/>
              <w:rPr>
                <w:rFonts w:hint="eastAsia"/>
                <w:sz w:val="20"/>
                <w:lang w:val="en-US" w:eastAsia="zh-CN"/>
              </w:rPr>
            </w:pPr>
            <w:r>
              <w:drawing>
                <wp:inline distT="0" distB="0" distL="114300" distR="114300">
                  <wp:extent cx="2956560" cy="3454400"/>
                  <wp:effectExtent l="0" t="0" r="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956560" cy="3454400"/>
                          </a:xfrm>
                          <a:prstGeom prst="rect">
                            <a:avLst/>
                          </a:prstGeom>
                          <a:noFill/>
                          <a:ln>
                            <a:noFill/>
                          </a:ln>
                        </pic:spPr>
                      </pic:pic>
                    </a:graphicData>
                  </a:graphic>
                </wp:inline>
              </w:drawing>
            </w:r>
          </w:p>
          <w:p>
            <w:pPr>
              <w:ind w:firstLine="400" w:firstLineChars="200"/>
              <w:rPr>
                <w:rFonts w:hint="eastAsia"/>
                <w:sz w:val="20"/>
                <w:lang w:val="en-US" w:eastAsia="zh-CN"/>
              </w:rPr>
            </w:pPr>
            <w:r>
              <w:rPr>
                <w:rFonts w:hint="eastAsia"/>
                <w:sz w:val="20"/>
                <w:lang w:val="en-US" w:eastAsia="zh-CN"/>
              </w:rPr>
              <w:t>出示“管理评审会议记录”，查评审输入内容包括：</w:t>
            </w:r>
          </w:p>
          <w:p>
            <w:pPr>
              <w:ind w:firstLine="400" w:firstLineChars="200"/>
              <w:rPr>
                <w:rFonts w:hint="eastAsia"/>
                <w:sz w:val="20"/>
                <w:lang w:val="en-US" w:eastAsia="zh-CN"/>
              </w:rPr>
            </w:pPr>
            <w:r>
              <w:rPr>
                <w:rFonts w:hint="eastAsia"/>
                <w:sz w:val="20"/>
                <w:lang w:val="en-US" w:eastAsia="zh-CN"/>
              </w:rPr>
              <w:t>3、评审目的：全面总结能源管理体系运行情况，对体系适宜性、充分性和有效性进行评价，以持续改进能源管理体系。</w:t>
            </w:r>
          </w:p>
          <w:p>
            <w:pPr>
              <w:ind w:firstLine="400" w:firstLineChars="200"/>
              <w:rPr>
                <w:rFonts w:hint="eastAsia"/>
                <w:sz w:val="20"/>
                <w:szCs w:val="22"/>
                <w:lang w:val="en-US" w:eastAsia="zh-CN"/>
              </w:rPr>
            </w:pPr>
            <w:r>
              <w:rPr>
                <w:rFonts w:hint="eastAsia"/>
                <w:sz w:val="20"/>
                <w:szCs w:val="22"/>
                <w:lang w:val="en-US" w:eastAsia="zh-CN"/>
              </w:rPr>
              <w:t>评审组织：主持：总经理，出席：管理者代表、各部门负责人。</w:t>
            </w:r>
          </w:p>
          <w:p>
            <w:pPr>
              <w:ind w:firstLine="400" w:firstLineChars="200"/>
              <w:rPr>
                <w:rFonts w:hint="eastAsia"/>
                <w:sz w:val="20"/>
                <w:lang w:val="en-US" w:eastAsia="zh-CN"/>
              </w:rPr>
            </w:pPr>
            <w:r>
              <w:rPr>
                <w:rFonts w:hint="eastAsia"/>
                <w:sz w:val="20"/>
                <w:lang w:val="en-US" w:eastAsia="zh-CN"/>
              </w:rPr>
              <w:t>提供该公司管理评审资料，比较完整，符合能源管理体系的基本要求。</w:t>
            </w:r>
          </w:p>
          <w:p>
            <w:pPr>
              <w:ind w:firstLine="400" w:firstLineChars="200"/>
              <w:rPr>
                <w:rFonts w:hint="eastAsia"/>
                <w:sz w:val="20"/>
                <w:lang w:val="en-US" w:eastAsia="zh-CN"/>
              </w:rPr>
            </w:pPr>
            <w:r>
              <w:rPr>
                <w:rFonts w:hint="eastAsia"/>
                <w:sz w:val="20"/>
                <w:lang w:val="en-US" w:eastAsia="zh-CN"/>
              </w:rPr>
              <w:t>抽查：能源绩效指标完成情况</w:t>
            </w:r>
          </w:p>
          <w:p>
            <w:pPr>
              <w:ind w:firstLine="400" w:firstLineChars="200"/>
              <w:rPr>
                <w:rFonts w:hint="eastAsia"/>
                <w:sz w:val="20"/>
                <w:lang w:val="en-US" w:eastAsia="zh-CN"/>
              </w:rPr>
            </w:pPr>
            <w:r>
              <w:rPr>
                <w:rFonts w:hint="eastAsia"/>
                <w:sz w:val="20"/>
                <w:lang w:val="en-US" w:eastAsia="zh-CN"/>
              </w:rPr>
              <w:t>2021年1-6综合能耗为2110.4kgce，万元产值综合能耗0.499kgce/万元产值；2020年7-12月综合能耗为3208.99kgce，万元产值综合能耗0.528kgce/万元产值；2021年1-3月万元产值综合能耗与2020年年7-12月比较呈下降趋势，有明显改善。</w:t>
            </w:r>
          </w:p>
          <w:p>
            <w:pPr>
              <w:ind w:firstLine="400" w:firstLineChars="200"/>
              <w:rPr>
                <w:rFonts w:hint="eastAsia"/>
                <w:sz w:val="20"/>
                <w:lang w:val="en-US" w:eastAsia="zh-CN"/>
              </w:rPr>
            </w:pPr>
            <w:r>
              <w:rPr>
                <w:rFonts w:hint="eastAsia"/>
                <w:sz w:val="20"/>
                <w:lang w:val="en-US" w:eastAsia="zh-CN"/>
              </w:rPr>
              <w:t>国家推广的一些先进节能技术在企业得到推广应用，如LED灯改造项目、伺服电机的改造、工艺改进等技术在企业得到应用，节约了能源，提高了能源利用效率。</w:t>
            </w:r>
          </w:p>
          <w:p>
            <w:pPr>
              <w:ind w:firstLine="400" w:firstLineChars="200"/>
              <w:rPr>
                <w:rFonts w:hint="eastAsia" w:eastAsia="宋体"/>
                <w:sz w:val="20"/>
                <w:szCs w:val="22"/>
                <w:lang w:val="en-US" w:eastAsia="zh-CN"/>
              </w:rPr>
            </w:pPr>
            <w:r>
              <w:rPr>
                <w:rFonts w:hint="eastAsia" w:eastAsia="宋体"/>
                <w:sz w:val="20"/>
                <w:szCs w:val="22"/>
                <w:lang w:val="en-US" w:eastAsia="zh-CN"/>
              </w:rPr>
              <w:t>提供：2021年能源管理体系目标指标为：</w:t>
            </w:r>
          </w:p>
          <w:p>
            <w:pPr>
              <w:ind w:firstLine="400" w:firstLineChars="200"/>
              <w:rPr>
                <w:rFonts w:hint="eastAsia" w:eastAsia="宋体"/>
                <w:sz w:val="20"/>
                <w:szCs w:val="22"/>
                <w:lang w:val="en-US" w:eastAsia="zh-CN"/>
              </w:rPr>
            </w:pPr>
            <w:r>
              <w:rPr>
                <w:rFonts w:hint="eastAsia" w:eastAsia="宋体"/>
                <w:sz w:val="20"/>
                <w:szCs w:val="22"/>
                <w:lang w:val="en-US" w:eastAsia="zh-CN"/>
              </w:rPr>
              <w:t xml:space="preserve">公司级：综合能耗（kgce）/万元产值≤45 </w:t>
            </w:r>
            <w:r>
              <w:rPr>
                <w:rFonts w:hint="eastAsia"/>
                <w:sz w:val="20"/>
                <w:szCs w:val="22"/>
                <w:lang w:val="en-US" w:eastAsia="zh-CN"/>
              </w:rPr>
              <w:t>。</w:t>
            </w:r>
            <w:r>
              <w:rPr>
                <w:rFonts w:hint="eastAsia" w:eastAsia="宋体"/>
                <w:sz w:val="20"/>
                <w:szCs w:val="22"/>
                <w:lang w:val="en-US" w:eastAsia="zh-CN"/>
              </w:rPr>
              <w:t xml:space="preserve">   电耗（kwh）/万元产值≤84</w:t>
            </w:r>
            <w:r>
              <w:rPr>
                <w:rFonts w:hint="eastAsia"/>
                <w:sz w:val="20"/>
                <w:szCs w:val="22"/>
                <w:lang w:val="en-US" w:eastAsia="zh-CN"/>
              </w:rPr>
              <w:t>。</w:t>
            </w:r>
          </w:p>
          <w:p>
            <w:pPr>
              <w:ind w:firstLine="400" w:firstLineChars="200"/>
              <w:rPr>
                <w:rFonts w:hint="eastAsia" w:eastAsia="宋体"/>
                <w:sz w:val="20"/>
                <w:szCs w:val="22"/>
                <w:lang w:val="en-US" w:eastAsia="zh-CN"/>
              </w:rPr>
            </w:pPr>
            <w:r>
              <w:rPr>
                <w:rFonts w:hint="eastAsia" w:eastAsia="宋体"/>
                <w:sz w:val="20"/>
                <w:szCs w:val="22"/>
                <w:lang w:val="en-US" w:eastAsia="zh-CN"/>
              </w:rPr>
              <w:t>公司级能效：    全厂用电功率因数≥0.90</w:t>
            </w:r>
            <w:r>
              <w:rPr>
                <w:rFonts w:hint="eastAsia"/>
                <w:sz w:val="20"/>
                <w:szCs w:val="22"/>
                <w:lang w:val="en-US" w:eastAsia="zh-CN"/>
              </w:rPr>
              <w:t>。</w:t>
            </w:r>
          </w:p>
          <w:p>
            <w:pPr>
              <w:ind w:firstLine="400" w:firstLineChars="200"/>
              <w:rPr>
                <w:rFonts w:hint="eastAsia" w:eastAsia="宋体"/>
                <w:sz w:val="20"/>
                <w:szCs w:val="22"/>
                <w:lang w:val="en-US" w:eastAsia="zh-CN"/>
              </w:rPr>
            </w:pPr>
            <w:r>
              <w:rPr>
                <w:rFonts w:hint="eastAsia"/>
                <w:sz w:val="20"/>
                <w:lang w:val="en-US" w:eastAsia="zh-CN"/>
              </w:rPr>
              <w:t>管理评审内容还包括：</w:t>
            </w:r>
          </w:p>
          <w:p>
            <w:pPr>
              <w:ind w:firstLine="400" w:firstLineChars="200"/>
              <w:rPr>
                <w:rFonts w:hint="eastAsia"/>
                <w:sz w:val="20"/>
                <w:lang w:val="en-US" w:eastAsia="zh-CN"/>
              </w:rPr>
            </w:pPr>
            <w:r>
              <w:rPr>
                <w:rFonts w:hint="eastAsia"/>
                <w:sz w:val="20"/>
                <w:lang w:val="en-US" w:eastAsia="zh-CN"/>
              </w:rPr>
              <w:t xml:space="preserve">a)以往管理评审所采取措施的状况； </w:t>
            </w:r>
          </w:p>
          <w:p>
            <w:pPr>
              <w:ind w:firstLine="400" w:firstLineChars="200"/>
              <w:rPr>
                <w:rFonts w:hint="eastAsia"/>
                <w:sz w:val="20"/>
                <w:lang w:val="en-US" w:eastAsia="zh-CN"/>
              </w:rPr>
            </w:pPr>
            <w:r>
              <w:rPr>
                <w:rFonts w:hint="eastAsia"/>
                <w:sz w:val="20"/>
                <w:lang w:val="en-US" w:eastAsia="zh-CN"/>
              </w:rPr>
              <w:t xml:space="preserve">b)与能源管理体系相关的内、外部因素以及相关的风险和机遇的变化； </w:t>
            </w:r>
          </w:p>
          <w:p>
            <w:pPr>
              <w:ind w:firstLine="400" w:firstLineChars="200"/>
              <w:rPr>
                <w:rFonts w:hint="eastAsia"/>
                <w:sz w:val="20"/>
                <w:lang w:val="en-US" w:eastAsia="zh-CN"/>
              </w:rPr>
            </w:pPr>
            <w:r>
              <w:rPr>
                <w:rFonts w:hint="eastAsia"/>
                <w:sz w:val="20"/>
                <w:lang w:val="en-US" w:eastAsia="zh-CN"/>
              </w:rPr>
              <w:t xml:space="preserve">c)下列有关能源管理体系绩效方面的信息，包括其趋势： </w:t>
            </w:r>
          </w:p>
          <w:p>
            <w:pPr>
              <w:ind w:firstLine="400" w:firstLineChars="200"/>
              <w:rPr>
                <w:rFonts w:hint="eastAsia"/>
                <w:sz w:val="20"/>
                <w:lang w:val="en-US" w:eastAsia="zh-CN"/>
              </w:rPr>
            </w:pPr>
            <w:r>
              <w:rPr>
                <w:rFonts w:hint="eastAsia"/>
                <w:sz w:val="20"/>
                <w:lang w:val="en-US" w:eastAsia="zh-CN"/>
              </w:rPr>
              <w:t xml:space="preserve">1) 不符合和纠正措施； </w:t>
            </w:r>
          </w:p>
          <w:p>
            <w:pPr>
              <w:ind w:firstLine="400" w:firstLineChars="200"/>
              <w:rPr>
                <w:rFonts w:hint="eastAsia"/>
                <w:sz w:val="20"/>
                <w:lang w:val="en-US" w:eastAsia="zh-CN"/>
              </w:rPr>
            </w:pPr>
            <w:r>
              <w:rPr>
                <w:rFonts w:hint="eastAsia"/>
                <w:sz w:val="20"/>
                <w:lang w:val="en-US" w:eastAsia="zh-CN"/>
              </w:rPr>
              <w:t xml:space="preserve">2) 监视和测量结果； </w:t>
            </w:r>
          </w:p>
          <w:p>
            <w:pPr>
              <w:ind w:firstLine="400" w:firstLineChars="200"/>
              <w:rPr>
                <w:rFonts w:hint="eastAsia"/>
                <w:sz w:val="20"/>
                <w:lang w:val="en-US" w:eastAsia="zh-CN"/>
              </w:rPr>
            </w:pPr>
            <w:r>
              <w:rPr>
                <w:rFonts w:hint="eastAsia"/>
                <w:sz w:val="20"/>
                <w:lang w:val="en-US" w:eastAsia="zh-CN"/>
              </w:rPr>
              <w:t xml:space="preserve">3) 审核结果； </w:t>
            </w:r>
          </w:p>
          <w:p>
            <w:pPr>
              <w:ind w:firstLine="400" w:firstLineChars="200"/>
              <w:rPr>
                <w:rFonts w:hint="eastAsia"/>
                <w:sz w:val="20"/>
                <w:lang w:val="en-US" w:eastAsia="zh-CN"/>
              </w:rPr>
            </w:pPr>
            <w:r>
              <w:rPr>
                <w:rFonts w:hint="eastAsia"/>
                <w:sz w:val="20"/>
                <w:lang w:val="en-US" w:eastAsia="zh-CN"/>
              </w:rPr>
              <w:t xml:space="preserve">4) 法律法规和其他要求的符合性评价结果。 </w:t>
            </w:r>
          </w:p>
          <w:p>
            <w:pPr>
              <w:ind w:firstLine="400" w:firstLineChars="200"/>
              <w:rPr>
                <w:rFonts w:hint="eastAsia"/>
                <w:sz w:val="20"/>
                <w:lang w:val="en-US" w:eastAsia="zh-CN"/>
              </w:rPr>
            </w:pPr>
            <w:r>
              <w:rPr>
                <w:rFonts w:hint="eastAsia"/>
                <w:sz w:val="20"/>
                <w:lang w:val="en-US" w:eastAsia="zh-CN"/>
              </w:rPr>
              <w:t xml:space="preserve">d)持续改进的机会，包括人员能力； </w:t>
            </w:r>
          </w:p>
          <w:p>
            <w:pPr>
              <w:ind w:firstLine="400" w:firstLineChars="200"/>
              <w:rPr>
                <w:rFonts w:hint="eastAsia"/>
                <w:sz w:val="20"/>
                <w:lang w:val="en-US" w:eastAsia="zh-CN"/>
              </w:rPr>
            </w:pPr>
            <w:r>
              <w:rPr>
                <w:rFonts w:hint="eastAsia"/>
                <w:sz w:val="20"/>
                <w:lang w:val="en-US" w:eastAsia="zh-CN"/>
              </w:rPr>
              <w:t xml:space="preserve">e)能源方针。 </w:t>
            </w:r>
          </w:p>
          <w:p>
            <w:pPr>
              <w:ind w:firstLine="400" w:firstLineChars="200"/>
              <w:rPr>
                <w:rFonts w:hint="eastAsia"/>
                <w:sz w:val="20"/>
                <w:lang w:val="en-US" w:eastAsia="zh-CN"/>
              </w:rPr>
            </w:pPr>
            <w:r>
              <w:rPr>
                <w:rFonts w:hint="eastAsia"/>
                <w:sz w:val="20"/>
                <w:lang w:val="en-US" w:eastAsia="zh-CN"/>
              </w:rPr>
              <w:t xml:space="preserve">4、管理评审输出，形成《管理评审报告》编审批齐全 。内容包括：   </w:t>
            </w:r>
          </w:p>
          <w:p>
            <w:pPr>
              <w:ind w:firstLine="400" w:firstLineChars="200"/>
              <w:rPr>
                <w:rFonts w:hint="eastAsia"/>
                <w:sz w:val="20"/>
                <w:lang w:val="en-US" w:eastAsia="zh-CN"/>
              </w:rPr>
            </w:pPr>
            <w:r>
              <w:rPr>
                <w:rFonts w:hint="eastAsia"/>
                <w:sz w:val="20"/>
                <w:lang w:val="en-US" w:eastAsia="zh-CN"/>
              </w:rPr>
              <w:t>管理评审结论：</w:t>
            </w:r>
          </w:p>
          <w:p>
            <w:pPr>
              <w:ind w:firstLine="400" w:firstLineChars="200"/>
              <w:rPr>
                <w:rFonts w:hint="eastAsia"/>
                <w:sz w:val="20"/>
                <w:lang w:val="en-US" w:eastAsia="zh-CN"/>
              </w:rPr>
            </w:pPr>
            <w:r>
              <w:rPr>
                <w:rFonts w:hint="eastAsia"/>
                <w:sz w:val="20"/>
                <w:lang w:val="en-US" w:eastAsia="zh-CN"/>
              </w:rPr>
              <w:t>a)公司能源绩效的变化：与上一年度基本一致。</w:t>
            </w:r>
          </w:p>
          <w:p>
            <w:pPr>
              <w:ind w:firstLine="400" w:firstLineChars="200"/>
              <w:rPr>
                <w:rFonts w:hint="eastAsia"/>
                <w:sz w:val="20"/>
                <w:lang w:val="en-US" w:eastAsia="zh-CN"/>
              </w:rPr>
            </w:pPr>
            <w:r>
              <w:rPr>
                <w:rFonts w:hint="eastAsia"/>
                <w:sz w:val="20"/>
                <w:lang w:val="en-US" w:eastAsia="zh-CN"/>
              </w:rPr>
              <w:t>b)能源方针的变化：保持不变。</w:t>
            </w:r>
          </w:p>
          <w:p>
            <w:pPr>
              <w:ind w:firstLine="400" w:firstLineChars="200"/>
              <w:rPr>
                <w:rFonts w:hint="eastAsia"/>
                <w:sz w:val="20"/>
                <w:lang w:val="en-US" w:eastAsia="zh-CN"/>
              </w:rPr>
            </w:pPr>
            <w:r>
              <w:rPr>
                <w:rFonts w:hint="eastAsia"/>
                <w:sz w:val="20"/>
                <w:lang w:val="en-US" w:eastAsia="zh-CN"/>
              </w:rPr>
              <w:t>c)能源绩效参数的变化：保持不变。</w:t>
            </w:r>
          </w:p>
          <w:p>
            <w:pPr>
              <w:ind w:firstLine="400" w:firstLineChars="200"/>
              <w:rPr>
                <w:rFonts w:hint="eastAsia"/>
                <w:sz w:val="20"/>
                <w:lang w:val="en-US" w:eastAsia="zh-CN"/>
              </w:rPr>
            </w:pPr>
            <w:r>
              <w:rPr>
                <w:rFonts w:hint="eastAsia"/>
                <w:sz w:val="20"/>
                <w:lang w:val="en-US" w:eastAsia="zh-CN"/>
              </w:rPr>
              <w:t>d)就持续改进的承诺，公司对能源管理体系的目标、指标和其他要素的调整：保持不变。</w:t>
            </w:r>
          </w:p>
          <w:p>
            <w:pPr>
              <w:ind w:firstLine="400" w:firstLineChars="200"/>
              <w:rPr>
                <w:rFonts w:hint="eastAsia"/>
                <w:sz w:val="20"/>
                <w:lang w:val="en-US" w:eastAsia="zh-CN"/>
              </w:rPr>
            </w:pPr>
            <w:r>
              <w:rPr>
                <w:rFonts w:hint="eastAsia"/>
                <w:sz w:val="20"/>
                <w:lang w:val="en-US" w:eastAsia="zh-CN"/>
              </w:rPr>
              <w:t>e)资源分配的变化：保持不变。</w:t>
            </w:r>
          </w:p>
          <w:p>
            <w:pPr>
              <w:ind w:firstLine="400" w:firstLineChars="200"/>
              <w:rPr>
                <w:rFonts w:hint="eastAsia"/>
                <w:sz w:val="20"/>
                <w:lang w:val="en-US" w:eastAsia="zh-CN"/>
              </w:rPr>
            </w:pPr>
            <w:r>
              <w:rPr>
                <w:rFonts w:hint="eastAsia"/>
                <w:sz w:val="20"/>
                <w:lang w:val="en-US" w:eastAsia="zh-CN"/>
              </w:rPr>
              <w:t>综合结论：本公司能源管理体系是适宜的、充分的和有效的。</w:t>
            </w:r>
          </w:p>
          <w:p>
            <w:pPr>
              <w:ind w:firstLine="400" w:firstLineChars="200"/>
              <w:rPr>
                <w:rFonts w:hint="eastAsia"/>
                <w:sz w:val="20"/>
                <w:lang w:val="en-US" w:eastAsia="zh-CN"/>
              </w:rPr>
            </w:pPr>
            <w:r>
              <w:rPr>
                <w:rFonts w:hint="eastAsia"/>
                <w:sz w:val="20"/>
                <w:lang w:val="en-US" w:eastAsia="zh-CN"/>
              </w:rPr>
              <w:t>5、纠正措施和预防措施的实施情况</w:t>
            </w:r>
          </w:p>
          <w:p>
            <w:pPr>
              <w:ind w:firstLine="400" w:firstLineChars="200"/>
              <w:rPr>
                <w:rFonts w:hint="eastAsia"/>
                <w:sz w:val="20"/>
                <w:lang w:val="en-US" w:eastAsia="zh-CN"/>
              </w:rPr>
            </w:pPr>
            <w:r>
              <w:rPr>
                <w:rFonts w:hint="eastAsia"/>
                <w:sz w:val="20"/>
                <w:lang w:val="en-US" w:eastAsia="zh-CN"/>
              </w:rPr>
              <w:t>采取的纠正措施与改进措施，对下一阶段能源绩效的规划，经过能源管理体系的运行，能源管理取得了较好能效，结合能源管理现状及改进空间，总经理对公司下一阶段能源绩效进行了再规划。</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持续改进</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10.2 </w:t>
            </w:r>
          </w:p>
        </w:tc>
        <w:tc>
          <w:tcPr>
            <w:tcW w:w="10376" w:type="dxa"/>
          </w:tcPr>
          <w:p>
            <w:pPr>
              <w:ind w:firstLine="400" w:firstLineChars="200"/>
              <w:rPr>
                <w:rFonts w:hint="eastAsia"/>
                <w:sz w:val="20"/>
                <w:lang w:val="en-US" w:eastAsia="zh-CN"/>
              </w:rPr>
            </w:pPr>
            <w:r>
              <w:rPr>
                <w:rFonts w:hint="eastAsia"/>
                <w:sz w:val="20"/>
                <w:lang w:val="en-US" w:eastAsia="zh-CN"/>
              </w:rPr>
              <w:t>公司的能源管理体系虽然得到了有效的实施与保持，能源绩效得到持续改进，但是仍然存在以下三个方面的问题，提出改进要求。</w:t>
            </w:r>
          </w:p>
          <w:p>
            <w:pPr>
              <w:ind w:firstLine="400" w:firstLineChars="200"/>
              <w:rPr>
                <w:rFonts w:hint="eastAsia"/>
                <w:sz w:val="20"/>
                <w:lang w:val="en-US" w:eastAsia="zh-CN"/>
              </w:rPr>
            </w:pPr>
            <w:r>
              <w:rPr>
                <w:rFonts w:hint="eastAsia"/>
                <w:sz w:val="20"/>
                <w:lang w:val="en-US" w:eastAsia="zh-CN"/>
              </w:rPr>
              <w:t>（一）全员参与程度有待强化</w:t>
            </w:r>
          </w:p>
          <w:p>
            <w:pPr>
              <w:ind w:firstLine="400" w:firstLineChars="200"/>
              <w:rPr>
                <w:rFonts w:hint="eastAsia"/>
                <w:sz w:val="20"/>
                <w:lang w:val="en-US" w:eastAsia="zh-CN"/>
              </w:rPr>
            </w:pPr>
            <w:r>
              <w:rPr>
                <w:rFonts w:hint="eastAsia"/>
                <w:sz w:val="20"/>
                <w:lang w:val="en-US" w:eastAsia="zh-CN"/>
              </w:rPr>
              <w:t>体系运行工作与日常工作融合不充分，全体员工参与程度不够。在全公司内开展节能合理化建议活动，在改进工艺、强化管理等方面提出合理化建议项目，对效果明显的节能项目经评审后给予奖励，充分发挥员工的节能的积极性和潜力。</w:t>
            </w:r>
          </w:p>
          <w:p>
            <w:pPr>
              <w:ind w:firstLine="400" w:firstLineChars="200"/>
              <w:rPr>
                <w:rFonts w:hint="eastAsia"/>
                <w:sz w:val="20"/>
                <w:lang w:val="en-US" w:eastAsia="zh-CN"/>
              </w:rPr>
            </w:pPr>
            <w:r>
              <w:rPr>
                <w:rFonts w:hint="eastAsia"/>
                <w:sz w:val="20"/>
                <w:lang w:val="en-US" w:eastAsia="zh-CN"/>
              </w:rPr>
              <w:t>（二）设备、能源数据统计等基础管理有待提高。</w:t>
            </w:r>
          </w:p>
          <w:p>
            <w:pPr>
              <w:ind w:firstLine="400" w:firstLineChars="200"/>
              <w:rPr>
                <w:rFonts w:hint="eastAsia"/>
                <w:sz w:val="20"/>
                <w:lang w:val="en-US" w:eastAsia="zh-CN"/>
              </w:rPr>
            </w:pPr>
            <w:r>
              <w:rPr>
                <w:rFonts w:hint="eastAsia"/>
                <w:sz w:val="20"/>
                <w:lang w:val="en-US" w:eastAsia="zh-CN"/>
              </w:rPr>
              <w:t>1．设备可靠性有待提高。加强重点耗能设备的维护保养工作，保留相应记录。设备故障率高，影响节能效果。相关设施检修安排不合理，会造成能源浪费。</w:t>
            </w:r>
          </w:p>
          <w:p>
            <w:pPr>
              <w:ind w:firstLine="400" w:firstLineChars="200"/>
              <w:rPr>
                <w:rFonts w:hint="eastAsia"/>
                <w:sz w:val="20"/>
                <w:lang w:val="en-US" w:eastAsia="zh-CN"/>
              </w:rPr>
            </w:pPr>
            <w:r>
              <w:rPr>
                <w:rFonts w:hint="eastAsia"/>
                <w:sz w:val="20"/>
                <w:lang w:val="en-US" w:eastAsia="zh-CN"/>
              </w:rPr>
              <w:t>2．能源数据统计管理有待提高。水、电、汽油、柴油等能源统计不够及时完整。</w:t>
            </w:r>
          </w:p>
          <w:p>
            <w:pPr>
              <w:ind w:firstLine="400" w:firstLineChars="200"/>
              <w:rPr>
                <w:rFonts w:hint="eastAsia"/>
                <w:sz w:val="20"/>
                <w:lang w:val="en-US" w:eastAsia="zh-CN"/>
              </w:rPr>
            </w:pPr>
            <w:r>
              <w:rPr>
                <w:rFonts w:hint="eastAsia"/>
                <w:sz w:val="20"/>
                <w:lang w:val="en-US" w:eastAsia="zh-CN"/>
              </w:rPr>
              <w:t>3、对于建筑施工项目应单独加电表进行电能核算，控制施工过程的用电量。</w:t>
            </w:r>
          </w:p>
          <w:p>
            <w:pPr>
              <w:ind w:firstLine="400" w:firstLineChars="200"/>
              <w:rPr>
                <w:rFonts w:hint="eastAsia"/>
                <w:sz w:val="20"/>
                <w:lang w:val="en-US" w:eastAsia="zh-CN"/>
              </w:rPr>
            </w:pPr>
            <w:r>
              <w:rPr>
                <w:rFonts w:hint="eastAsia"/>
                <w:sz w:val="20"/>
                <w:lang w:val="en-US" w:eastAsia="zh-CN"/>
              </w:rPr>
              <w:t>（三）项目设计的源头控制力度不足。</w:t>
            </w:r>
          </w:p>
          <w:p>
            <w:pPr>
              <w:ind w:firstLine="400" w:firstLineChars="200"/>
              <w:rPr>
                <w:rFonts w:hint="eastAsia"/>
                <w:sz w:val="20"/>
                <w:lang w:val="en-US" w:eastAsia="zh-CN"/>
              </w:rPr>
            </w:pPr>
            <w:r>
              <w:rPr>
                <w:rFonts w:hint="eastAsia"/>
                <w:sz w:val="20"/>
                <w:lang w:val="en-US" w:eastAsia="zh-CN"/>
              </w:rPr>
              <w:t>项目设计时，应优先考虑采用清洁能源，采用国家优先推荐的节能设备。采购合同的评审表中加入上述内容评审的要求。</w:t>
            </w:r>
          </w:p>
        </w:tc>
        <w:tc>
          <w:tcPr>
            <w:tcW w:w="1213" w:type="dxa"/>
          </w:tcP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-36195</wp:posOffset>
          </wp:positionV>
          <wp:extent cx="382270" cy="348615"/>
          <wp:effectExtent l="0" t="0" r="6350" b="1905"/>
          <wp:wrapTight wrapText="bothSides">
            <wp:wrapPolygon>
              <wp:start x="5597" y="0"/>
              <wp:lineTo x="0" y="2833"/>
              <wp:lineTo x="0" y="16997"/>
              <wp:lineTo x="6889" y="21246"/>
              <wp:lineTo x="9472" y="21246"/>
              <wp:lineTo x="14639" y="21246"/>
              <wp:lineTo x="15070" y="21246"/>
              <wp:lineTo x="20237" y="15108"/>
              <wp:lineTo x="21098" y="6610"/>
              <wp:lineTo x="16361" y="944"/>
              <wp:lineTo x="14209" y="0"/>
              <wp:lineTo x="5597"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82270" cy="348615"/>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4C1DAC"/>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108219C2"/>
    <w:rsid w:val="124C54DB"/>
    <w:rsid w:val="16D974B1"/>
    <w:rsid w:val="18AB3A2D"/>
    <w:rsid w:val="1ADD2EA8"/>
    <w:rsid w:val="1B46487E"/>
    <w:rsid w:val="2120036C"/>
    <w:rsid w:val="212345D6"/>
    <w:rsid w:val="25C6426F"/>
    <w:rsid w:val="32334EAE"/>
    <w:rsid w:val="3BE00E93"/>
    <w:rsid w:val="3D507775"/>
    <w:rsid w:val="3E4F4E3C"/>
    <w:rsid w:val="3E7419A7"/>
    <w:rsid w:val="3F4531D2"/>
    <w:rsid w:val="42960F91"/>
    <w:rsid w:val="43C45188"/>
    <w:rsid w:val="450827B4"/>
    <w:rsid w:val="4A8A3240"/>
    <w:rsid w:val="4B1D16C3"/>
    <w:rsid w:val="4FFD1A67"/>
    <w:rsid w:val="508939BE"/>
    <w:rsid w:val="5A1D6551"/>
    <w:rsid w:val="5AF1408E"/>
    <w:rsid w:val="5BFD0207"/>
    <w:rsid w:val="5D8E10D3"/>
    <w:rsid w:val="5EA12B9A"/>
    <w:rsid w:val="5EC27919"/>
    <w:rsid w:val="5F5C13F0"/>
    <w:rsid w:val="60D8693C"/>
    <w:rsid w:val="62F24F2F"/>
    <w:rsid w:val="650A78D6"/>
    <w:rsid w:val="68D24589"/>
    <w:rsid w:val="6CAA131E"/>
    <w:rsid w:val="6DFD2074"/>
    <w:rsid w:val="70FE0D10"/>
    <w:rsid w:val="7257141B"/>
    <w:rsid w:val="779C0AFE"/>
    <w:rsid w:val="78E67034"/>
    <w:rsid w:val="7E155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华文细黑"/>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rFonts w:ascii="Times New Roman" w:hAnsi="Times New Roman" w:eastAsia="宋体" w:cs="Times New Roman"/>
      <w:sz w:val="18"/>
      <w:szCs w:val="18"/>
    </w:rPr>
  </w:style>
  <w:style w:type="character" w:customStyle="1" w:styleId="11">
    <w:name w:val="页脚 字符"/>
    <w:basedOn w:val="9"/>
    <w:link w:val="4"/>
    <w:qFormat/>
    <w:uiPriority w:val="99"/>
    <w:rPr>
      <w:rFonts w:ascii="Times New Roman" w:hAnsi="Times New Roman" w:eastAsia="宋体" w:cs="Times New Roman"/>
      <w:sz w:val="18"/>
      <w:szCs w:val="18"/>
    </w:rPr>
  </w:style>
  <w:style w:type="character" w:customStyle="1" w:styleId="12">
    <w:name w:val="批注框文本 字符"/>
    <w:basedOn w:val="9"/>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66</TotalTime>
  <ScaleCrop>false</ScaleCrop>
  <LinksUpToDate>false</LinksUpToDate>
  <CharactersWithSpaces>147</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王宁敏</cp:lastModifiedBy>
  <dcterms:modified xsi:type="dcterms:W3CDTF">2021-09-11T07:58:16Z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