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szCs w:val="22"/>
              </w:rPr>
            </w:pPr>
            <w:r>
              <w:rPr>
                <w:rFonts w:hint="eastAsia"/>
                <w:szCs w:val="22"/>
              </w:rPr>
              <w:t>过程与活动、</w:t>
            </w:r>
          </w:p>
          <w:p>
            <w:pPr>
              <w:rPr>
                <w:rFonts w:hint="eastAsia"/>
                <w:szCs w:val="22"/>
              </w:rPr>
            </w:pPr>
            <w:r>
              <w:rPr>
                <w:rFonts w:hint="eastAsia"/>
                <w:szCs w:val="22"/>
              </w:rPr>
              <w:t>抽样计划</w:t>
            </w:r>
          </w:p>
        </w:tc>
        <w:tc>
          <w:tcPr>
            <w:tcW w:w="960" w:type="dxa"/>
            <w:vMerge w:val="restart"/>
            <w:vAlign w:val="center"/>
          </w:tcPr>
          <w:p>
            <w:pPr>
              <w:rPr>
                <w:rFonts w:hint="eastAsia"/>
                <w:szCs w:val="22"/>
              </w:rPr>
            </w:pPr>
            <w:r>
              <w:rPr>
                <w:rFonts w:hint="eastAsia"/>
                <w:szCs w:val="22"/>
              </w:rPr>
              <w:t>涉及</w:t>
            </w:r>
          </w:p>
          <w:p>
            <w:pPr>
              <w:rPr>
                <w:rFonts w:hint="eastAsia"/>
                <w:szCs w:val="22"/>
              </w:rPr>
            </w:pPr>
            <w:r>
              <w:rPr>
                <w:rFonts w:hint="eastAsia"/>
                <w:szCs w:val="22"/>
              </w:rPr>
              <w:t>条款</w:t>
            </w:r>
          </w:p>
        </w:tc>
        <w:tc>
          <w:tcPr>
            <w:tcW w:w="10376" w:type="dxa"/>
            <w:vAlign w:val="center"/>
          </w:tcPr>
          <w:p>
            <w:pPr>
              <w:rPr>
                <w:rFonts w:hint="eastAsia"/>
                <w:szCs w:val="22"/>
                <w:lang w:val="en-US" w:eastAsia="zh-CN"/>
              </w:rPr>
            </w:pPr>
            <w:r>
              <w:rPr>
                <w:rFonts w:hint="eastAsia"/>
                <w:szCs w:val="22"/>
              </w:rPr>
              <w:t>受审核部门：</w:t>
            </w:r>
            <w:r>
              <w:rPr>
                <w:rFonts w:hint="eastAsia"/>
                <w:szCs w:val="22"/>
                <w:lang w:val="en-US" w:eastAsia="zh-CN"/>
              </w:rPr>
              <w:t>技术中心</w:t>
            </w:r>
            <w:r>
              <w:rPr>
                <w:rFonts w:hint="eastAsia"/>
                <w:szCs w:val="22"/>
              </w:rPr>
              <w:t xml:space="preserve">    主管领导：</w:t>
            </w:r>
            <w:r>
              <w:rPr>
                <w:rFonts w:hint="eastAsia"/>
                <w:szCs w:val="22"/>
                <w:lang w:val="en-US" w:eastAsia="zh-CN"/>
              </w:rPr>
              <w:t>任柴</w:t>
            </w:r>
            <w:r>
              <w:rPr>
                <w:rFonts w:hint="eastAsia"/>
                <w:szCs w:val="22"/>
              </w:rPr>
              <w:t xml:space="preserve">     陪同人员：</w:t>
            </w:r>
            <w:r>
              <w:rPr>
                <w:rFonts w:hint="eastAsia"/>
                <w:szCs w:val="22"/>
                <w:lang w:val="en-US" w:eastAsia="zh-CN"/>
              </w:rPr>
              <w:t>孙红云</w:t>
            </w:r>
          </w:p>
        </w:tc>
        <w:tc>
          <w:tcPr>
            <w:tcW w:w="121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szCs w:val="22"/>
              </w:rPr>
            </w:pPr>
          </w:p>
        </w:tc>
        <w:tc>
          <w:tcPr>
            <w:tcW w:w="960" w:type="dxa"/>
            <w:vMerge w:val="continue"/>
            <w:vAlign w:val="center"/>
          </w:tcPr>
          <w:p>
            <w:pPr>
              <w:rPr>
                <w:rFonts w:hint="eastAsia"/>
                <w:szCs w:val="22"/>
              </w:rPr>
            </w:pPr>
          </w:p>
        </w:tc>
        <w:tc>
          <w:tcPr>
            <w:tcW w:w="10376" w:type="dxa"/>
            <w:vAlign w:val="center"/>
          </w:tcPr>
          <w:p>
            <w:pPr>
              <w:rPr>
                <w:rFonts w:hint="eastAsia"/>
                <w:szCs w:val="22"/>
              </w:rPr>
            </w:pPr>
            <w:r>
              <w:rPr>
                <w:rFonts w:hint="eastAsia"/>
                <w:szCs w:val="22"/>
              </w:rPr>
              <w:t>审核员：</w:t>
            </w:r>
            <w:r>
              <w:rPr>
                <w:rFonts w:hint="eastAsia"/>
                <w:szCs w:val="22"/>
                <w:lang w:val="en-US" w:eastAsia="zh-CN"/>
              </w:rPr>
              <w:t>王宁敏</w:t>
            </w:r>
            <w:r>
              <w:rPr>
                <w:rFonts w:hint="eastAsia"/>
                <w:szCs w:val="22"/>
              </w:rPr>
              <w:t xml:space="preserve"> </w:t>
            </w:r>
            <w:r>
              <w:rPr>
                <w:rFonts w:hint="eastAsia"/>
                <w:szCs w:val="22"/>
                <w:lang w:eastAsia="zh-CN"/>
              </w:rPr>
              <w:t>、</w:t>
            </w:r>
            <w:r>
              <w:rPr>
                <w:rFonts w:hint="eastAsia"/>
                <w:szCs w:val="22"/>
                <w:u w:val="single"/>
                <w:lang w:val="en-US" w:eastAsia="zh-CN"/>
              </w:rPr>
              <w:t>周涛</w:t>
            </w:r>
            <w:r>
              <w:rPr>
                <w:rFonts w:hint="eastAsia"/>
                <w:szCs w:val="22"/>
                <w:u w:val="single"/>
              </w:rPr>
              <w:t xml:space="preserve"> </w:t>
            </w:r>
            <w:r>
              <w:rPr>
                <w:rFonts w:hint="eastAsia"/>
                <w:szCs w:val="22"/>
              </w:rPr>
              <w:t xml:space="preserve">     审核时间：</w:t>
            </w:r>
            <w:r>
              <w:rPr>
                <w:rFonts w:hint="eastAsia"/>
                <w:szCs w:val="22"/>
                <w:lang w:val="en-US" w:eastAsia="zh-CN"/>
              </w:rPr>
              <w:t>2021-9-11  13:00-17:00</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szCs w:val="22"/>
              </w:rPr>
            </w:pPr>
          </w:p>
        </w:tc>
        <w:tc>
          <w:tcPr>
            <w:tcW w:w="960" w:type="dxa"/>
            <w:vMerge w:val="continue"/>
            <w:vAlign w:val="center"/>
          </w:tcPr>
          <w:p>
            <w:pPr>
              <w:rPr>
                <w:rFonts w:hint="eastAsia"/>
                <w:szCs w:val="22"/>
              </w:rPr>
            </w:pPr>
          </w:p>
        </w:tc>
        <w:tc>
          <w:tcPr>
            <w:tcW w:w="10376" w:type="dxa"/>
            <w:vAlign w:val="center"/>
          </w:tcPr>
          <w:p>
            <w:pPr>
              <w:rPr>
                <w:rFonts w:hint="eastAsia"/>
                <w:szCs w:val="22"/>
                <w:lang w:val="en-US" w:eastAsia="zh-CN"/>
              </w:rPr>
            </w:pPr>
            <w:r>
              <w:rPr>
                <w:rFonts w:hint="eastAsia"/>
                <w:szCs w:val="22"/>
              </w:rPr>
              <w:t>审核条款：5.3 组织的岗位、职责和权限、6.2 目标、能源指及其实现的策划、8.1 运行的策划和控制、8.2设计、10.1不符合与纠正措施</w:t>
            </w:r>
            <w:r>
              <w:rPr>
                <w:rFonts w:hint="eastAsia"/>
                <w:szCs w:val="22"/>
                <w:lang w:eastAsia="zh-CN"/>
              </w:rPr>
              <w:t>。</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2160" w:type="dxa"/>
          </w:tcPr>
          <w:p>
            <w:pPr>
              <w:rPr>
                <w:rFonts w:hint="eastAsia"/>
              </w:rPr>
            </w:pPr>
            <w:r>
              <w:rPr>
                <w:rFonts w:hint="eastAsia"/>
              </w:rPr>
              <w:t>1.</w:t>
            </w:r>
            <w:r>
              <w:rPr>
                <w:rFonts w:hint="eastAsia"/>
                <w:lang w:val="en-US" w:eastAsia="zh-CN"/>
              </w:rPr>
              <w:t>能源</w:t>
            </w:r>
            <w:r>
              <w:rPr>
                <w:rFonts w:hint="eastAsia"/>
              </w:rPr>
              <w:t>职责、</w:t>
            </w:r>
            <w:r>
              <w:rPr>
                <w:rFonts w:hint="eastAsia"/>
                <w:lang w:val="en-US" w:eastAsia="zh-CN"/>
              </w:rPr>
              <w:t>能源</w:t>
            </w:r>
            <w:r>
              <w:rPr>
                <w:rFonts w:hint="eastAsia"/>
              </w:rPr>
              <w:t>管理目标及实现措施策划适宜性，履行职责和目标实现情况；</w:t>
            </w:r>
          </w:p>
          <w:p>
            <w:pPr>
              <w:pStyle w:val="6"/>
            </w:pPr>
            <w:bookmarkStart w:id="0" w:name="_GoBack"/>
            <w:bookmarkEnd w:id="0"/>
          </w:p>
        </w:tc>
        <w:tc>
          <w:tcPr>
            <w:tcW w:w="960" w:type="dxa"/>
          </w:tcPr>
          <w:p>
            <w:r>
              <w:rPr>
                <w:rFonts w:hint="eastAsia" w:ascii="宋体" w:hAnsi="宋体" w:eastAsia="宋体" w:cs="Times New Roman"/>
                <w:sz w:val="21"/>
                <w:szCs w:val="21"/>
              </w:rPr>
              <w:t>5.3</w:t>
            </w: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6.2</w:t>
            </w:r>
          </w:p>
        </w:tc>
        <w:tc>
          <w:tcPr>
            <w:tcW w:w="10376" w:type="dxa"/>
          </w:tcPr>
          <w:p>
            <w:pPr>
              <w:ind w:firstLine="420" w:firstLineChars="200"/>
              <w:rPr>
                <w:rFonts w:hint="eastAsia"/>
                <w:szCs w:val="22"/>
                <w:lang w:val="en-US" w:eastAsia="zh-CN"/>
              </w:rPr>
            </w:pPr>
            <w:r>
              <w:rPr>
                <w:rFonts w:hint="eastAsia"/>
                <w:lang w:val="en-US" w:eastAsia="zh-CN"/>
              </w:rPr>
              <w:t>1.技术中心：领导：</w:t>
            </w:r>
            <w:r>
              <w:rPr>
                <w:rFonts w:hint="eastAsia"/>
                <w:szCs w:val="22"/>
                <w:lang w:val="en-US" w:eastAsia="zh-CN"/>
              </w:rPr>
              <w:t xml:space="preserve">任柴 </w:t>
            </w:r>
            <w:r>
              <w:rPr>
                <w:rFonts w:hint="eastAsia"/>
                <w:lang w:val="en-US" w:eastAsia="zh-CN"/>
              </w:rPr>
              <w:t>，共7人；</w:t>
            </w:r>
            <w:r>
              <w:rPr>
                <w:rFonts w:hint="eastAsia" w:cs="Times New Roman"/>
                <w:szCs w:val="22"/>
                <w:lang w:val="en-US" w:eastAsia="zh-CN"/>
              </w:rPr>
              <w:t>提供</w:t>
            </w:r>
            <w:r>
              <w:rPr>
                <w:rFonts w:hint="eastAsia"/>
                <w:lang w:val="en-US" w:eastAsia="zh-CN"/>
              </w:rPr>
              <w:t>《岗位及部门职责》</w:t>
            </w:r>
            <w:r>
              <w:rPr>
                <w:rFonts w:hint="eastAsia"/>
                <w:szCs w:val="22"/>
                <w:lang w:val="en-US" w:eastAsia="zh-CN"/>
              </w:rPr>
              <w:t>。部门定位-根据公司整体发展战略，承担新产品、新技术、新工艺研发，协助研发成果产业化协同；承担军工项目的立项争取、组织实施以及军工产品的研制、生产并配合市场开发及销售工作，确保公司产品研发能力持续提高，公司军工项目及军工生产经营计划顺利完成。</w:t>
            </w:r>
          </w:p>
          <w:p>
            <w:pPr>
              <w:numPr>
                <w:ilvl w:val="0"/>
                <w:numId w:val="0"/>
              </w:numPr>
              <w:ind w:firstLine="420" w:firstLineChars="200"/>
              <w:rPr>
                <w:rFonts w:hint="default"/>
                <w:lang w:val="en-US" w:eastAsia="zh-CN"/>
              </w:rPr>
            </w:pPr>
            <w:r>
              <w:rPr>
                <w:rFonts w:hint="eastAsia"/>
                <w:szCs w:val="22"/>
                <w:lang w:val="en-US" w:eastAsia="zh-CN"/>
              </w:rPr>
              <w:t>职责概述-军工科研项目管理、军品市场开发、军品生产、研发体系建设、新品研发、研发成果转化、研发过程知识管理、部门建设。</w:t>
            </w:r>
          </w:p>
          <w:p>
            <w:pPr>
              <w:pStyle w:val="6"/>
              <w:rPr>
                <w:rFonts w:hint="eastAsia"/>
                <w:lang w:val="en-US" w:eastAsia="zh-CN"/>
              </w:rPr>
            </w:pPr>
            <w:r>
              <w:rPr>
                <w:rFonts w:hint="eastAsia"/>
                <w:szCs w:val="22"/>
                <w:lang w:val="en-US" w:eastAsia="zh-CN"/>
              </w:rPr>
              <w:t>2.提供技术中心能源管理目标</w:t>
            </w:r>
          </w:p>
          <w:p>
            <w:pPr>
              <w:ind w:firstLine="420" w:firstLineChars="200"/>
              <w:rPr>
                <w:rFonts w:hint="eastAsia"/>
                <w:b/>
                <w:bCs/>
                <w:color w:val="auto"/>
                <w:lang w:val="en-US" w:eastAsia="zh-CN"/>
              </w:rPr>
            </w:pPr>
            <w:r>
              <w:rPr>
                <w:rFonts w:hint="eastAsia"/>
                <w:lang w:val="en-US" w:eastAsia="zh-CN"/>
              </w:rPr>
              <w:t xml:space="preserve">    </w:t>
            </w:r>
            <w:r>
              <w:rPr>
                <w:rFonts w:hint="eastAsia"/>
                <w:b/>
                <w:bCs/>
                <w:color w:val="auto"/>
                <w:lang w:val="en-US" w:eastAsia="zh-CN"/>
              </w:rPr>
              <w:t>保证公司目标指标的完成，</w:t>
            </w:r>
          </w:p>
          <w:p>
            <w:pPr>
              <w:ind w:firstLine="422" w:firstLineChars="200"/>
              <w:rPr>
                <w:rFonts w:hint="eastAsia"/>
                <w:b/>
                <w:bCs/>
                <w:color w:val="auto"/>
                <w:lang w:val="en-US" w:eastAsia="zh-CN"/>
              </w:rPr>
            </w:pPr>
            <w:r>
              <w:rPr>
                <w:rFonts w:hint="eastAsia"/>
                <w:b/>
                <w:bCs/>
                <w:color w:val="auto"/>
                <w:lang w:val="en-US" w:eastAsia="zh-CN"/>
              </w:rPr>
              <w:t>项目研发——研发项目节点按时完成率达到90%，评价方法：研发项目节点按时实际完成数量/项目节点按时应完成数量*100%。</w:t>
            </w:r>
          </w:p>
          <w:p>
            <w:pPr>
              <w:pStyle w:val="6"/>
              <w:rPr>
                <w:rFonts w:hint="default"/>
                <w:lang w:val="en-US" w:eastAsia="zh-CN"/>
              </w:rPr>
            </w:pPr>
            <w:r>
              <w:rPr>
                <w:rFonts w:hint="eastAsia"/>
                <w:b/>
                <w:bCs/>
                <w:color w:val="auto"/>
                <w:lang w:val="en-US" w:eastAsia="zh-CN"/>
              </w:rPr>
              <w:t>查阅相关记录，全部完成。</w:t>
            </w:r>
          </w:p>
          <w:p>
            <w:pPr>
              <w:pStyle w:val="6"/>
              <w:numPr>
                <w:ilvl w:val="0"/>
                <w:numId w:val="0"/>
              </w:numPr>
              <w:ind w:leftChars="200" w:firstLine="420" w:firstLineChars="200"/>
              <w:rPr>
                <w:rFonts w:hint="default"/>
                <w:szCs w:val="22"/>
                <w:lang w:val="en-US" w:eastAsia="zh-CN"/>
              </w:rPr>
            </w:pPr>
            <w:r>
              <w:rPr>
                <w:rFonts w:hint="eastAsia"/>
                <w:lang w:val="en-US" w:eastAsia="zh-CN"/>
              </w:rPr>
              <w:t>查阅公司对各部门的考核。</w:t>
            </w:r>
          </w:p>
        </w:tc>
        <w:tc>
          <w:tcPr>
            <w:tcW w:w="1213" w:type="dxa"/>
          </w:tcPr>
          <w:p/>
          <w:p>
            <w:pPr>
              <w:pStyle w:val="6"/>
            </w:pPr>
          </w:p>
          <w:p/>
          <w:p>
            <w:pPr>
              <w:pStyle w:val="6"/>
            </w:pPr>
          </w:p>
          <w:p/>
          <w:p>
            <w:pPr>
              <w:pStyle w:val="6"/>
            </w:pPr>
          </w:p>
          <w:p/>
          <w:p>
            <w:pPr>
              <w:pStyle w:val="6"/>
            </w:pPr>
          </w:p>
          <w:p/>
          <w:p>
            <w:pPr>
              <w:rPr>
                <w:rFonts w:hint="eastAsia" w:eastAsia="宋体"/>
                <w:lang w:val="en-US" w:eastAsia="zh-CN"/>
              </w:rPr>
            </w:pPr>
            <w:r>
              <w:rPr>
                <w:rFonts w:hint="eastAsia"/>
                <w:color w:val="FF0000"/>
                <w:lang w:val="en-US" w:eastAsia="zh-CN"/>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2160" w:type="dxa"/>
            <w:vAlign w:val="top"/>
          </w:tcPr>
          <w:p>
            <w:pPr>
              <w:rPr>
                <w:rFonts w:hint="eastAsia" w:ascii="Times New Roman" w:hAnsi="Times New Roman" w:cs="Times New Roman"/>
                <w:szCs w:val="22"/>
              </w:rPr>
            </w:pPr>
            <w:r>
              <w:rPr>
                <w:rFonts w:hint="eastAsia" w:ascii="Times New Roman" w:hAnsi="Times New Roman" w:cs="Times New Roman"/>
                <w:szCs w:val="22"/>
                <w:lang w:val="en-US" w:eastAsia="zh-CN"/>
              </w:rPr>
              <w:t>2.</w:t>
            </w:r>
            <w:r>
              <w:rPr>
                <w:rFonts w:hint="eastAsia" w:ascii="Times New Roman" w:hAnsi="Times New Roman" w:cs="Times New Roman"/>
                <w:szCs w:val="22"/>
              </w:rPr>
              <w:t>运行的策划和控制</w:t>
            </w:r>
            <w:r>
              <w:rPr>
                <w:rFonts w:hint="eastAsia" w:ascii="Times New Roman" w:hAnsi="Times New Roman" w:cs="Times New Roman"/>
                <w:szCs w:val="22"/>
                <w:lang w:eastAsia="zh-CN"/>
              </w:rPr>
              <w:t>；</w:t>
            </w:r>
          </w:p>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Cs w:val="22"/>
                <w:u w:val="single"/>
                <w:lang w:val="en-US" w:eastAsia="zh-CN"/>
              </w:rPr>
              <w:t>3.设</w:t>
            </w:r>
            <w:r>
              <w:rPr>
                <w:rFonts w:hint="eastAsia" w:ascii="Times New Roman" w:hAnsi="Times New Roman" w:eastAsia="宋体" w:cs="Times New Roman"/>
                <w:kern w:val="2"/>
                <w:sz w:val="21"/>
                <w:szCs w:val="22"/>
                <w:u w:val="single"/>
                <w:lang w:val="en-US" w:eastAsia="zh-CN" w:bidi="ar-SA"/>
              </w:rPr>
              <w:t>计</w:t>
            </w:r>
            <w:r>
              <w:rPr>
                <w:rFonts w:hint="eastAsia" w:ascii="Times New Roman" w:hAnsi="Times New Roman" w:cs="Times New Roman"/>
                <w:kern w:val="2"/>
                <w:sz w:val="21"/>
                <w:szCs w:val="22"/>
                <w:u w:val="single"/>
                <w:lang w:val="en-US" w:eastAsia="zh-CN" w:bidi="ar-SA"/>
              </w:rPr>
              <w:t>；</w:t>
            </w:r>
          </w:p>
        </w:tc>
        <w:tc>
          <w:tcPr>
            <w:tcW w:w="960" w:type="dxa"/>
            <w:vAlign w:val="top"/>
          </w:tcPr>
          <w:p>
            <w:pPr>
              <w:pStyle w:val="6"/>
              <w:ind w:left="0" w:leftChars="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8.1</w:t>
            </w:r>
            <w:r>
              <w:rPr>
                <w:rFonts w:hint="eastAsia" w:ascii="宋体" w:hAnsi="宋体" w:cs="Times New Roman"/>
                <w:sz w:val="21"/>
                <w:szCs w:val="21"/>
                <w:lang w:val="en-US" w:eastAsia="zh-CN"/>
              </w:rPr>
              <w:t>/</w:t>
            </w:r>
            <w:r>
              <w:rPr>
                <w:rFonts w:hint="eastAsia" w:ascii="宋体" w:hAnsi="宋体" w:cs="Times New Roman"/>
                <w:sz w:val="21"/>
                <w:szCs w:val="21"/>
                <w:u w:val="single"/>
                <w:lang w:val="en-US" w:eastAsia="zh-CN"/>
              </w:rPr>
              <w:t>8.2</w:t>
            </w:r>
          </w:p>
        </w:tc>
        <w:tc>
          <w:tcPr>
            <w:tcW w:w="10376" w:type="dxa"/>
            <w:vAlign w:val="top"/>
          </w:tcPr>
          <w:p>
            <w:pPr>
              <w:numPr>
                <w:ilvl w:val="0"/>
                <w:numId w:val="0"/>
              </w:numPr>
              <w:ind w:firstLine="420" w:firstLineChars="200"/>
              <w:rPr>
                <w:rFonts w:hint="eastAsia"/>
                <w:lang w:eastAsia="zh-CN"/>
              </w:rPr>
            </w:pPr>
            <w:r>
              <w:rPr>
                <w:rFonts w:hint="eastAsia"/>
                <w:lang w:val="en-US" w:eastAsia="zh-CN"/>
              </w:rPr>
              <w:t>1、提供设计方面的制度：</w:t>
            </w:r>
            <w:r>
              <w:rPr>
                <w:rFonts w:hint="eastAsia"/>
              </w:rPr>
              <w:t>策划编制有</w:t>
            </w:r>
            <w:r>
              <w:rPr>
                <w:rFonts w:hint="eastAsia"/>
                <w:lang w:eastAsia="zh-CN"/>
              </w:rPr>
              <w:t>《En/HB-CX-05</w:t>
            </w:r>
            <w:r>
              <w:rPr>
                <w:rFonts w:hint="eastAsia"/>
                <w:lang w:eastAsia="zh-CN"/>
              </w:rPr>
              <w:tab/>
            </w:r>
            <w:r>
              <w:rPr>
                <w:rFonts w:hint="eastAsia"/>
                <w:lang w:eastAsia="zh-CN"/>
              </w:rPr>
              <w:t>能源评审控制程序》、项目管理制度，项目立项管理办法、项目成果及专利奖励办法、合理化建议管理制度、合理化建议评优办法、QCC项目管理办法、项目实施管理办法、技术岗位竞聘及考核管理规定等，有发布，实施。有编审批。确保了其适宜性和充分性。</w:t>
            </w:r>
            <w:r>
              <w:rPr>
                <w:rFonts w:hint="eastAsia"/>
                <w:lang w:val="en-US" w:eastAsia="zh-CN"/>
              </w:rPr>
              <w:t>并且在《能源手册》8.2条款中</w:t>
            </w:r>
            <w:r>
              <w:rPr>
                <w:rFonts w:hint="eastAsia"/>
              </w:rPr>
              <w:t>内容规定了</w:t>
            </w:r>
            <w:r>
              <w:rPr>
                <w:rFonts w:hint="eastAsia"/>
                <w:lang w:eastAsia="zh-CN"/>
              </w:rPr>
              <w:t>“</w:t>
            </w:r>
            <w:r>
              <w:rPr>
                <w:rFonts w:hint="eastAsia"/>
              </w:rPr>
              <w:t>制定并执行《设计控制程序》，考虑能源性能改进机会和在设计新的、改进的和翻新的设施、设备、系统和能源使用过程时的操作控制，这些过程在计划或预期的使用寿命内可能对其能源性能产生重大影响。</w:t>
            </w:r>
            <w:r>
              <w:rPr>
                <w:rFonts w:hint="eastAsia"/>
                <w:lang w:eastAsia="zh-CN"/>
              </w:rPr>
              <w:t>”</w:t>
            </w:r>
          </w:p>
          <w:p>
            <w:pPr>
              <w:ind w:firstLine="420"/>
              <w:rPr>
                <w:rFonts w:hint="eastAsia"/>
                <w:lang w:eastAsia="zh-CN"/>
              </w:rPr>
            </w:pPr>
            <w:r>
              <w:rPr>
                <w:rFonts w:hint="eastAsia"/>
                <w:lang w:eastAsia="zh-CN"/>
              </w:rPr>
              <w:t>“</w:t>
            </w:r>
            <w:r>
              <w:rPr>
                <w:rFonts w:hint="eastAsia"/>
              </w:rPr>
              <w:t>在适用的情况下，能源性能考虑的结果应纳入规范、设计和采购活动。</w:t>
            </w:r>
            <w:r>
              <w:rPr>
                <w:rFonts w:hint="eastAsia"/>
                <w:lang w:eastAsia="zh-CN"/>
              </w:rPr>
              <w:t>”</w:t>
            </w:r>
          </w:p>
          <w:p>
            <w:pPr>
              <w:ind w:firstLine="420"/>
              <w:rPr>
                <w:rFonts w:hint="eastAsia"/>
                <w:lang w:val="en-US" w:eastAsia="zh-CN"/>
              </w:rPr>
            </w:pPr>
            <w:r>
              <w:rPr>
                <w:rFonts w:hint="eastAsia"/>
                <w:lang w:eastAsia="zh-CN"/>
              </w:rPr>
              <w:t>“</w:t>
            </w:r>
            <w:r>
              <w:rPr>
                <w:rFonts w:hint="eastAsia"/>
              </w:rPr>
              <w:t>组织应保留与能源性能相关的设计活动的文档化信息</w:t>
            </w:r>
            <w:r>
              <w:rPr>
                <w:rFonts w:hint="eastAsia"/>
                <w:lang w:val="en-US" w:eastAsia="zh-CN"/>
              </w:rPr>
              <w:t>等。”</w:t>
            </w:r>
          </w:p>
          <w:p>
            <w:pPr>
              <w:ind w:firstLine="420"/>
              <w:rPr>
                <w:rFonts w:hint="eastAsia"/>
                <w:lang w:val="en-US" w:eastAsia="zh-CN"/>
              </w:rPr>
            </w:pPr>
            <w:r>
              <w:rPr>
                <w:rFonts w:hint="eastAsia"/>
                <w:lang w:val="en-US" w:eastAsia="zh-CN"/>
              </w:rPr>
              <w:t>设计部对公司分管的职责进行每月的绩效考核。包括以下方面的工作：负责组织公司对新、改、扩建项目以及技改技措项目进行相关的适用的能源评估。</w:t>
            </w:r>
          </w:p>
          <w:p>
            <w:pPr>
              <w:ind w:firstLine="420"/>
              <w:rPr>
                <w:rFonts w:hint="default"/>
                <w:lang w:val="en-US" w:eastAsia="zh-CN"/>
              </w:rPr>
            </w:pPr>
            <w:r>
              <w:rPr>
                <w:rFonts w:hint="eastAsia"/>
                <w:lang w:val="en-US" w:eastAsia="zh-CN"/>
              </w:rPr>
              <w:t>2、公司最近三年的项目基本是下属单位的，还没有公司级的项目。</w:t>
            </w:r>
          </w:p>
          <w:p>
            <w:pPr>
              <w:ind w:firstLine="630" w:firstLineChars="300"/>
              <w:rPr>
                <w:rFonts w:hint="eastAsia"/>
                <w:lang w:val="en-US" w:eastAsia="zh-CN"/>
              </w:rPr>
            </w:pPr>
            <w:r>
              <w:rPr>
                <w:rFonts w:hint="eastAsia"/>
                <w:lang w:val="en-US" w:eastAsia="zh-CN"/>
              </w:rPr>
              <w:t>1）提供钼份产品线的《车间循环水改造》，项目类别：B类改进型，项目名称：车间循环水改造，项目负责人：黄桥军。项目主要参与人：肖俊虎、杜仁林、李东，项目申请时间：2018年12月10日，项目起止时间：2018年12月1日至2019年5月30日，成果所属部门：钼份产品线。</w:t>
            </w:r>
          </w:p>
          <w:p>
            <w:pPr>
              <w:ind w:firstLine="420"/>
              <w:rPr>
                <w:rFonts w:hint="eastAsia"/>
                <w:lang w:val="en-US" w:eastAsia="zh-CN"/>
              </w:rPr>
            </w:pPr>
            <w:r>
              <w:rPr>
                <w:rFonts w:hint="eastAsia"/>
                <w:lang w:val="en-US" w:eastAsia="zh-CN"/>
              </w:rPr>
              <w:t>有：一、项目立项的目的和意义，二、项目实施所需条件，三、项目研究（制）的主要内容及研究方案、方案，四、项目预计达到的技术水平或指标（目标），五、项目经费预算及经费来源，六、项目研究进度计划安排，七、课题组成员及分工，八、相关意见，九、总经理意见。</w:t>
            </w:r>
          </w:p>
          <w:p>
            <w:pPr>
              <w:ind w:firstLine="420"/>
              <w:rPr>
                <w:rFonts w:hint="eastAsia"/>
                <w:szCs w:val="22"/>
                <w:lang w:val="en-US" w:eastAsia="zh-CN"/>
              </w:rPr>
            </w:pPr>
            <w:r>
              <w:rPr>
                <w:rFonts w:hint="eastAsia"/>
                <w:lang w:val="en-US" w:eastAsia="zh-CN"/>
              </w:rPr>
              <w:t>该项目现状：现阶段车间掺杂物料的冷却和掺杂锅真空泵需使用自来水，月均用水量为300吨，用完后直接外排，造成周老师严重浪费；3#氢气净化系统使用设备动力部循环水，年分摊循环水使用费用为45000元，并且管</w:t>
            </w:r>
            <w:r>
              <w:rPr>
                <w:rFonts w:hint="eastAsia"/>
                <w:szCs w:val="22"/>
                <w:lang w:val="en-US" w:eastAsia="zh-CN"/>
              </w:rPr>
              <w:t>道较长、压力无法保证，同时会引入大量杂质。</w:t>
            </w:r>
          </w:p>
          <w:p>
            <w:pPr>
              <w:ind w:firstLine="420"/>
              <w:rPr>
                <w:rFonts w:hint="default"/>
                <w:lang w:val="en-US" w:eastAsia="zh-CN"/>
              </w:rPr>
            </w:pPr>
            <w:r>
              <w:rPr>
                <w:rFonts w:hint="eastAsia"/>
                <w:szCs w:val="22"/>
                <w:lang w:val="en-US" w:eastAsia="zh-CN"/>
              </w:rPr>
              <w:t>项目目标与意义：讲掺杂用资料室改为循环水，减少水用量；3#氢气进化使用内部小循环，降低用水费用，保证用水质量。</w:t>
            </w:r>
          </w:p>
          <w:p>
            <w:pPr>
              <w:ind w:firstLine="420"/>
              <w:rPr>
                <w:rFonts w:hint="eastAsia"/>
                <w:szCs w:val="22"/>
                <w:lang w:val="en-US" w:eastAsia="zh-CN"/>
              </w:rPr>
            </w:pPr>
            <w:r>
              <w:rPr>
                <w:rFonts w:hint="eastAsia"/>
                <w:szCs w:val="22"/>
                <w:lang w:val="en-US" w:eastAsia="zh-CN"/>
              </w:rPr>
              <w:t>项目经费预算及经费来源：包括人工费用、试验调试、分析测试、仪器设备购置、试验材料、信息调研、资料等。项目总投资：8.0万元。</w:t>
            </w:r>
          </w:p>
          <w:p>
            <w:pPr>
              <w:ind w:firstLine="420"/>
              <w:jc w:val="center"/>
              <w:rPr>
                <w:rFonts w:hint="default"/>
                <w:szCs w:val="22"/>
                <w:lang w:val="en-US" w:eastAsia="zh-CN"/>
              </w:rPr>
            </w:pPr>
            <w:r>
              <w:drawing>
                <wp:inline distT="0" distB="0" distL="114300" distR="114300">
                  <wp:extent cx="1525905" cy="2035175"/>
                  <wp:effectExtent l="0" t="0" r="571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25905" cy="2035175"/>
                          </a:xfrm>
                          <a:prstGeom prst="rect">
                            <a:avLst/>
                          </a:prstGeom>
                          <a:noFill/>
                          <a:ln>
                            <a:noFill/>
                          </a:ln>
                        </pic:spPr>
                      </pic:pic>
                    </a:graphicData>
                  </a:graphic>
                </wp:inline>
              </w:drawing>
            </w:r>
            <w:r>
              <w:drawing>
                <wp:inline distT="0" distB="0" distL="114300" distR="114300">
                  <wp:extent cx="1523365" cy="2032635"/>
                  <wp:effectExtent l="0" t="0" r="63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523365" cy="2032635"/>
                          </a:xfrm>
                          <a:prstGeom prst="rect">
                            <a:avLst/>
                          </a:prstGeom>
                          <a:noFill/>
                          <a:ln>
                            <a:noFill/>
                          </a:ln>
                        </pic:spPr>
                      </pic:pic>
                    </a:graphicData>
                  </a:graphic>
                </wp:inline>
              </w:drawing>
            </w:r>
            <w:r>
              <w:drawing>
                <wp:inline distT="0" distB="0" distL="114300" distR="114300">
                  <wp:extent cx="1527175" cy="2037080"/>
                  <wp:effectExtent l="0" t="0" r="4445"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527175" cy="2037080"/>
                          </a:xfrm>
                          <a:prstGeom prst="rect">
                            <a:avLst/>
                          </a:prstGeom>
                          <a:noFill/>
                          <a:ln>
                            <a:noFill/>
                          </a:ln>
                        </pic:spPr>
                      </pic:pic>
                    </a:graphicData>
                  </a:graphic>
                </wp:inline>
              </w:drawing>
            </w:r>
          </w:p>
          <w:p>
            <w:pPr>
              <w:pStyle w:val="2"/>
              <w:numPr>
                <w:ilvl w:val="0"/>
                <w:numId w:val="0"/>
              </w:numPr>
              <w:ind w:left="525" w:leftChars="0"/>
              <w:jc w:val="both"/>
              <w:rPr>
                <w:rFonts w:hint="eastAsia" w:cs="宋体"/>
                <w:kern w:val="0"/>
                <w:sz w:val="21"/>
                <w:szCs w:val="21"/>
                <w:lang w:val="en-US" w:eastAsia="zh-CN" w:bidi="zh-CN"/>
              </w:rPr>
            </w:pP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ind w:left="527" w:leftChars="0" w:firstLine="0" w:firstLineChars="0"/>
              <w:jc w:val="both"/>
              <w:textAlignment w:val="auto"/>
              <w:rPr>
                <w:rFonts w:hint="eastAsia" w:cs="宋体"/>
                <w:kern w:val="0"/>
                <w:sz w:val="21"/>
                <w:szCs w:val="21"/>
                <w:lang w:val="en-US" w:eastAsia="zh-CN" w:bidi="zh-CN"/>
              </w:rPr>
            </w:pPr>
            <w:r>
              <w:rPr>
                <w:rFonts w:hint="eastAsia" w:cs="宋体"/>
                <w:kern w:val="0"/>
                <w:sz w:val="21"/>
                <w:szCs w:val="21"/>
                <w:lang w:val="en-US" w:eastAsia="zh-CN" w:bidi="zh-CN"/>
              </w:rPr>
              <w:t>钼份产品线的《氢气单耗降低》项目：</w:t>
            </w:r>
          </w:p>
          <w:p>
            <w:pPr>
              <w:pStyle w:val="2"/>
              <w:numPr>
                <w:ilvl w:val="0"/>
                <w:numId w:val="0"/>
              </w:numPr>
              <w:ind w:left="525" w:leftChars="0"/>
              <w:jc w:val="left"/>
              <w:rPr>
                <w:rFonts w:hint="default" w:ascii="Times New Roman" w:hAnsi="Times New Roman" w:cs="Times New Roman"/>
                <w:kern w:val="2"/>
                <w:sz w:val="21"/>
                <w:szCs w:val="22"/>
                <w:lang w:val="en-US" w:eastAsia="zh-CN" w:bidi="ar-SA"/>
              </w:rPr>
            </w:pPr>
            <w:r>
              <w:drawing>
                <wp:inline distT="0" distB="0" distL="114300" distR="114300">
                  <wp:extent cx="1428115" cy="2172970"/>
                  <wp:effectExtent l="0" t="0" r="444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1428115" cy="2172970"/>
                          </a:xfrm>
                          <a:prstGeom prst="rect">
                            <a:avLst/>
                          </a:prstGeom>
                          <a:noFill/>
                          <a:ln>
                            <a:noFill/>
                          </a:ln>
                        </pic:spPr>
                      </pic:pic>
                    </a:graphicData>
                  </a:graphic>
                </wp:inline>
              </w:drawing>
            </w:r>
            <w:r>
              <w:drawing>
                <wp:inline distT="0" distB="0" distL="114300" distR="114300">
                  <wp:extent cx="1446530" cy="2218055"/>
                  <wp:effectExtent l="0" t="0" r="1270"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1446530" cy="2218055"/>
                          </a:xfrm>
                          <a:prstGeom prst="rect">
                            <a:avLst/>
                          </a:prstGeom>
                          <a:noFill/>
                          <a:ln>
                            <a:noFill/>
                          </a:ln>
                        </pic:spPr>
                      </pic:pic>
                    </a:graphicData>
                  </a:graphic>
                </wp:inline>
              </w:drawing>
            </w:r>
            <w:r>
              <w:drawing>
                <wp:inline distT="0" distB="0" distL="114300" distR="114300">
                  <wp:extent cx="1483995" cy="2219960"/>
                  <wp:effectExtent l="0" t="0" r="1905" b="50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1483995" cy="2219960"/>
                          </a:xfrm>
                          <a:prstGeom prst="rect">
                            <a:avLst/>
                          </a:prstGeom>
                          <a:noFill/>
                          <a:ln>
                            <a:noFill/>
                          </a:ln>
                        </pic:spPr>
                      </pic:pic>
                    </a:graphicData>
                  </a:graphic>
                </wp:inline>
              </w:drawing>
            </w:r>
            <w:r>
              <w:drawing>
                <wp:inline distT="0" distB="0" distL="114300" distR="114300">
                  <wp:extent cx="1587500" cy="2202815"/>
                  <wp:effectExtent l="0" t="0" r="5080" b="698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2"/>
                          <a:stretch>
                            <a:fillRect/>
                          </a:stretch>
                        </pic:blipFill>
                        <pic:spPr>
                          <a:xfrm>
                            <a:off x="0" y="0"/>
                            <a:ext cx="1587500" cy="2202815"/>
                          </a:xfrm>
                          <a:prstGeom prst="rect">
                            <a:avLst/>
                          </a:prstGeom>
                          <a:noFill/>
                          <a:ln>
                            <a:noFill/>
                          </a:ln>
                        </pic:spPr>
                      </pic:pic>
                    </a:graphicData>
                  </a:graphic>
                </wp:inline>
              </w:drawing>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160" w:type="dxa"/>
          </w:tcPr>
          <w:p>
            <w:pPr>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不符合与纠正措施</w:t>
            </w:r>
          </w:p>
        </w:tc>
        <w:tc>
          <w:tcPr>
            <w:tcW w:w="960" w:type="dxa"/>
          </w:tcPr>
          <w:p>
            <w:pPr>
              <w:pStyle w:val="6"/>
              <w:ind w:left="0" w:leftChars="0" w:firstLine="0" w:firstLineChars="0"/>
              <w:rPr>
                <w:rFonts w:hint="eastAsia" w:ascii="宋体" w:hAnsi="宋体" w:cs="Times New Roman"/>
                <w:sz w:val="21"/>
                <w:szCs w:val="21"/>
                <w:lang w:val="en-US" w:eastAsia="zh-CN"/>
              </w:rPr>
            </w:pPr>
            <w:r>
              <w:rPr>
                <w:rFonts w:hint="eastAsia" w:ascii="宋体" w:hAnsi="宋体" w:eastAsia="宋体" w:cs="Times New Roman"/>
                <w:sz w:val="21"/>
                <w:szCs w:val="21"/>
              </w:rPr>
              <w:t>10.1</w:t>
            </w:r>
          </w:p>
        </w:tc>
        <w:tc>
          <w:tcPr>
            <w:tcW w:w="10376" w:type="dxa"/>
          </w:tcPr>
          <w:p>
            <w:pPr>
              <w:pStyle w:val="6"/>
              <w:rPr>
                <w:rFonts w:hint="eastAsia"/>
                <w:szCs w:val="22"/>
                <w:lang w:val="en-US" w:eastAsia="zh-CN"/>
              </w:rPr>
            </w:pPr>
            <w:r>
              <w:rPr>
                <w:rFonts w:hint="eastAsia"/>
                <w:szCs w:val="22"/>
                <w:lang w:val="en-US" w:eastAsia="zh-CN"/>
              </w:rPr>
              <w:t>提供《监视、测量与分析控制程序》《不符合、纠正、纠正措施和预防措施控制程序》公司建立、实施并保</w:t>
            </w:r>
          </w:p>
          <w:p>
            <w:pPr>
              <w:pStyle w:val="6"/>
              <w:ind w:left="0" w:leftChars="0" w:firstLine="0" w:firstLineChars="0"/>
              <w:rPr>
                <w:rFonts w:hint="eastAsia"/>
                <w:szCs w:val="22"/>
                <w:lang w:val="en-US" w:eastAsia="zh-CN"/>
              </w:rPr>
            </w:pPr>
            <w:r>
              <w:rPr>
                <w:rFonts w:hint="eastAsia"/>
                <w:szCs w:val="22"/>
                <w:lang w:val="en-US" w:eastAsia="zh-CN"/>
              </w:rPr>
              <w:t>持《监视、测量与分析控制程序》，以实现对能源管理绩效的监视、测量与评价，本单位负责本部门的相关目标、指标、运行控制等的监控和测量。</w:t>
            </w:r>
          </w:p>
          <w:p>
            <w:pPr>
              <w:pStyle w:val="6"/>
              <w:rPr>
                <w:rFonts w:hint="eastAsia"/>
                <w:szCs w:val="22"/>
                <w:lang w:val="en-US" w:eastAsia="zh-CN"/>
              </w:rPr>
            </w:pPr>
            <w:r>
              <w:rPr>
                <w:rFonts w:hint="eastAsia"/>
                <w:szCs w:val="22"/>
                <w:lang w:val="en-US" w:eastAsia="zh-CN"/>
              </w:rPr>
              <w:t>监视、测量主要内容</w:t>
            </w:r>
          </w:p>
          <w:p>
            <w:pPr>
              <w:pStyle w:val="6"/>
              <w:rPr>
                <w:rFonts w:hint="eastAsia"/>
                <w:szCs w:val="22"/>
                <w:lang w:val="en-US" w:eastAsia="zh-CN"/>
              </w:rPr>
            </w:pPr>
            <w:r>
              <w:rPr>
                <w:rFonts w:hint="eastAsia"/>
                <w:szCs w:val="22"/>
                <w:lang w:val="en-US" w:eastAsia="zh-CN"/>
              </w:rPr>
              <w:t>能源绩效关键特性测量计划的实现情况，如综合能耗、单位产品能耗节能量余能回收利用等的实施情况。</w:t>
            </w:r>
          </w:p>
          <w:p>
            <w:pPr>
              <w:pStyle w:val="6"/>
              <w:rPr>
                <w:rFonts w:hint="eastAsia"/>
                <w:szCs w:val="22"/>
                <w:lang w:val="en-US" w:eastAsia="zh-CN"/>
              </w:rPr>
            </w:pPr>
            <w:r>
              <w:rPr>
                <w:rFonts w:hint="eastAsia"/>
                <w:szCs w:val="22"/>
                <w:lang w:val="en-US" w:eastAsia="zh-CN"/>
              </w:rPr>
              <w:t>能源管理实施方案的执行情况，包括通过对能源管理实施方案的实施进度和内容的监测，及时发现方案执</w:t>
            </w:r>
          </w:p>
          <w:p>
            <w:pPr>
              <w:pStyle w:val="6"/>
              <w:ind w:left="0" w:leftChars="0" w:firstLine="0" w:firstLineChars="0"/>
              <w:rPr>
                <w:rFonts w:hint="eastAsia"/>
                <w:szCs w:val="22"/>
                <w:lang w:val="en-US" w:eastAsia="zh-CN"/>
              </w:rPr>
            </w:pPr>
            <w:r>
              <w:rPr>
                <w:rFonts w:hint="eastAsia"/>
                <w:szCs w:val="22"/>
                <w:lang w:val="en-US" w:eastAsia="zh-CN"/>
              </w:rPr>
              <w:t>行过程中出现的偏差，对能源管理方案的实施的节能效果进行计算和审核确认节能管理方案是否达到预期结果。</w:t>
            </w:r>
          </w:p>
          <w:p>
            <w:pPr>
              <w:pStyle w:val="6"/>
              <w:rPr>
                <w:rFonts w:hint="eastAsia"/>
                <w:szCs w:val="22"/>
                <w:lang w:val="en-US" w:eastAsia="zh-CN"/>
              </w:rPr>
            </w:pPr>
            <w:r>
              <w:rPr>
                <w:rFonts w:hint="eastAsia"/>
                <w:szCs w:val="22"/>
                <w:lang w:val="en-US" w:eastAsia="zh-CN"/>
              </w:rPr>
              <w:t>主要耗能设备设施的能源绩效参数变化情况。</w:t>
            </w:r>
          </w:p>
          <w:p>
            <w:pPr>
              <w:pStyle w:val="6"/>
              <w:rPr>
                <w:rFonts w:hint="eastAsia"/>
                <w:szCs w:val="22"/>
                <w:lang w:val="en-US" w:eastAsia="zh-CN"/>
              </w:rPr>
            </w:pPr>
            <w:r>
              <w:rPr>
                <w:rFonts w:hint="eastAsia"/>
                <w:szCs w:val="22"/>
                <w:lang w:val="en-US" w:eastAsia="zh-CN"/>
              </w:rPr>
              <w:t>优先控制的改进能源绩效机会：通过对执行管理制度、操作规范、工艺参数控制等要求的监视、确保优先</w:t>
            </w:r>
          </w:p>
          <w:p>
            <w:pPr>
              <w:pStyle w:val="6"/>
              <w:ind w:left="0" w:leftChars="0" w:firstLine="0" w:firstLineChars="0"/>
              <w:rPr>
                <w:rFonts w:hint="eastAsia"/>
                <w:szCs w:val="22"/>
                <w:lang w:val="en-US" w:eastAsia="zh-CN"/>
              </w:rPr>
            </w:pPr>
            <w:r>
              <w:rPr>
                <w:rFonts w:hint="eastAsia"/>
                <w:szCs w:val="22"/>
                <w:lang w:val="en-US" w:eastAsia="zh-CN"/>
              </w:rPr>
              <w:t>控制的改进能源绩效机会始终处于有效控制之下。</w:t>
            </w:r>
          </w:p>
          <w:p>
            <w:pPr>
              <w:pStyle w:val="6"/>
              <w:rPr>
                <w:rFonts w:hint="eastAsia"/>
                <w:szCs w:val="22"/>
                <w:lang w:val="en-US" w:eastAsia="zh-CN"/>
              </w:rPr>
            </w:pPr>
            <w:r>
              <w:rPr>
                <w:rFonts w:hint="eastAsia"/>
                <w:szCs w:val="22"/>
                <w:lang w:val="en-US" w:eastAsia="zh-CN"/>
              </w:rPr>
              <w:t>公司规定了为了及时纠正在能源管理体系运行中发现的不符合，采取有效的纠正措施与预防措施，减少对</w:t>
            </w:r>
          </w:p>
          <w:p>
            <w:pPr>
              <w:pStyle w:val="6"/>
              <w:ind w:left="0" w:leftChars="0" w:firstLine="0" w:firstLineChars="0"/>
              <w:rPr>
                <w:rFonts w:hint="eastAsia"/>
                <w:szCs w:val="22"/>
                <w:lang w:val="en-US" w:eastAsia="zh-CN"/>
              </w:rPr>
            </w:pPr>
            <w:r>
              <w:rPr>
                <w:rFonts w:hint="eastAsia"/>
                <w:szCs w:val="22"/>
                <w:lang w:val="en-US" w:eastAsia="zh-CN"/>
              </w:rPr>
              <w:t>生产经营活动的影响，避免不符合的再次发生。</w:t>
            </w:r>
          </w:p>
          <w:p>
            <w:pPr>
              <w:pStyle w:val="6"/>
              <w:rPr>
                <w:rFonts w:hint="default"/>
                <w:lang w:val="en-US" w:eastAsia="zh-CN"/>
              </w:rPr>
            </w:pPr>
            <w:r>
              <w:rPr>
                <w:rFonts w:hint="eastAsia"/>
                <w:szCs w:val="22"/>
                <w:lang w:val="en-US" w:eastAsia="zh-CN"/>
              </w:rPr>
              <w:t>目前设计部提供2020年以及2021年1至8月的对能源设计开发项目的相关记录，没有发生违规现象。</w:t>
            </w:r>
          </w:p>
        </w:tc>
        <w:tc>
          <w:tcPr>
            <w:tcW w:w="1213"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389890" cy="366395"/>
          <wp:effectExtent l="0" t="0" r="6350" b="6985"/>
          <wp:wrapTight wrapText="bothSides">
            <wp:wrapPolygon>
              <wp:start x="5910" y="0"/>
              <wp:lineTo x="0" y="3145"/>
              <wp:lineTo x="0" y="16621"/>
              <wp:lineTo x="6332" y="21113"/>
              <wp:lineTo x="9287" y="21113"/>
              <wp:lineTo x="14353" y="21113"/>
              <wp:lineTo x="14775" y="21113"/>
              <wp:lineTo x="20685" y="14375"/>
              <wp:lineTo x="20685" y="5840"/>
              <wp:lineTo x="17308" y="1797"/>
              <wp:lineTo x="14353" y="0"/>
              <wp:lineTo x="5910"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9890" cy="366395"/>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A004B"/>
    <w:multiLevelType w:val="singleLevel"/>
    <w:tmpl w:val="8BFA004B"/>
    <w:lvl w:ilvl="0" w:tentative="0">
      <w:start w:val="2"/>
      <w:numFmt w:val="decimal"/>
      <w:suff w:val="nothing"/>
      <w:lvlText w:val="%1）"/>
      <w:lvlJc w:val="left"/>
      <w:pPr>
        <w:ind w:left="52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E27D3"/>
    <w:rsid w:val="049241BE"/>
    <w:rsid w:val="06733461"/>
    <w:rsid w:val="0A957618"/>
    <w:rsid w:val="108219C2"/>
    <w:rsid w:val="11171A8E"/>
    <w:rsid w:val="14D728B8"/>
    <w:rsid w:val="17E52C11"/>
    <w:rsid w:val="1B945D95"/>
    <w:rsid w:val="1BA612C4"/>
    <w:rsid w:val="1CB922AB"/>
    <w:rsid w:val="22073125"/>
    <w:rsid w:val="254030D9"/>
    <w:rsid w:val="25781ADD"/>
    <w:rsid w:val="26A001C3"/>
    <w:rsid w:val="2817671C"/>
    <w:rsid w:val="2957333E"/>
    <w:rsid w:val="2C6C02D0"/>
    <w:rsid w:val="2E4F51E2"/>
    <w:rsid w:val="32A01957"/>
    <w:rsid w:val="3314569F"/>
    <w:rsid w:val="33392002"/>
    <w:rsid w:val="3BA316B1"/>
    <w:rsid w:val="3C0C3095"/>
    <w:rsid w:val="3F9D652A"/>
    <w:rsid w:val="402B677A"/>
    <w:rsid w:val="414D2B24"/>
    <w:rsid w:val="41EB158B"/>
    <w:rsid w:val="423D7A69"/>
    <w:rsid w:val="43ED645B"/>
    <w:rsid w:val="445C28F0"/>
    <w:rsid w:val="47936EDF"/>
    <w:rsid w:val="49B21079"/>
    <w:rsid w:val="4B9F31AA"/>
    <w:rsid w:val="4DBF6233"/>
    <w:rsid w:val="4FC45709"/>
    <w:rsid w:val="51FB57D8"/>
    <w:rsid w:val="53946D67"/>
    <w:rsid w:val="54B7236F"/>
    <w:rsid w:val="555D7216"/>
    <w:rsid w:val="56D65953"/>
    <w:rsid w:val="588277BB"/>
    <w:rsid w:val="5A160AA1"/>
    <w:rsid w:val="5AA417F3"/>
    <w:rsid w:val="5BFD0207"/>
    <w:rsid w:val="5C732204"/>
    <w:rsid w:val="5CE52CAB"/>
    <w:rsid w:val="5EA12B9A"/>
    <w:rsid w:val="5F2773C0"/>
    <w:rsid w:val="63540074"/>
    <w:rsid w:val="68173304"/>
    <w:rsid w:val="6BE332B6"/>
    <w:rsid w:val="6CFF56E7"/>
    <w:rsid w:val="72AB5494"/>
    <w:rsid w:val="7AB1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paragraph" w:styleId="7">
    <w:name w:val="Body Text First Indent"/>
    <w:basedOn w:val="2"/>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99"/>
    <w:rPr>
      <w:rFonts w:ascii="Times New Roman" w:hAnsi="Times New Roman" w:eastAsia="宋体" w:cs="Times New Roman"/>
      <w:sz w:val="18"/>
      <w:szCs w:val="18"/>
    </w:rPr>
  </w:style>
  <w:style w:type="character" w:customStyle="1" w:styleId="12">
    <w:name w:val="页脚 字符"/>
    <w:basedOn w:val="10"/>
    <w:link w:val="4"/>
    <w:qFormat/>
    <w:uiPriority w:val="99"/>
    <w:rPr>
      <w:rFonts w:ascii="Times New Roman" w:hAnsi="Times New Roman" w:eastAsia="宋体" w:cs="Times New Roman"/>
      <w:sz w:val="18"/>
      <w:szCs w:val="18"/>
    </w:rPr>
  </w:style>
  <w:style w:type="character" w:customStyle="1" w:styleId="13">
    <w:name w:val="批注框文本 字符"/>
    <w:basedOn w:val="10"/>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01"/>
    <w:basedOn w:val="10"/>
    <w:qFormat/>
    <w:uiPriority w:val="0"/>
    <w:rPr>
      <w:rFonts w:hint="eastAsia" w:ascii="宋体" w:hAnsi="宋体" w:eastAsia="宋体" w:cs="宋体"/>
      <w:color w:val="000000"/>
      <w:sz w:val="20"/>
      <w:szCs w:val="20"/>
      <w:u w:val="none"/>
    </w:rPr>
  </w:style>
  <w:style w:type="paragraph" w:styleId="16">
    <w:name w:val="List Paragraph"/>
    <w:basedOn w:val="1"/>
    <w:qFormat/>
    <w:uiPriority w:val="1"/>
    <w:pPr>
      <w:autoSpaceDE w:val="0"/>
      <w:autoSpaceDN w:val="0"/>
      <w:spacing w:before="92"/>
      <w:ind w:left="980" w:hanging="60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13</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2021-09-13T10:43:17Z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5B14C88E886D42B7BEDBC6EC701951AE</vt:lpwstr>
  </property>
</Properties>
</file>