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705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705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制品制造部</w:t>
            </w:r>
            <w:r>
              <w:rPr>
                <w:rFonts w:hint="eastAsia" w:ascii="宋体" w:hAnsi="宋体"/>
                <w:szCs w:val="21"/>
              </w:rPr>
              <w:t xml:space="preserve">       主管领导：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刘家爽        </w:t>
            </w:r>
            <w:r>
              <w:rPr>
                <w:rFonts w:hint="eastAsia" w:ascii="宋体" w:hAnsi="宋体"/>
                <w:szCs w:val="21"/>
              </w:rPr>
              <w:t xml:space="preserve">   陪同人员：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孙红云</w:t>
            </w:r>
          </w:p>
        </w:tc>
        <w:tc>
          <w:tcPr>
            <w:tcW w:w="884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705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审核员：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周涛、  </w:t>
            </w:r>
            <w:r>
              <w:rPr>
                <w:rFonts w:hint="eastAsia" w:ascii="宋体" w:hAnsi="宋体"/>
                <w:szCs w:val="21"/>
              </w:rPr>
              <w:t xml:space="preserve">        审核时间：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2021.9.9</w:t>
            </w:r>
          </w:p>
        </w:tc>
        <w:tc>
          <w:tcPr>
            <w:tcW w:w="88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705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 xml:space="preserve">审核条款：5.3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szCs w:val="21"/>
              </w:rPr>
              <w:t xml:space="preserve">6.2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szCs w:val="21"/>
              </w:rPr>
              <w:t>6.3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szCs w:val="21"/>
              </w:rPr>
              <w:t>6.4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szCs w:val="21"/>
              </w:rPr>
              <w:t>6.5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szCs w:val="21"/>
              </w:rPr>
              <w:t>6.6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/7.4/</w:t>
            </w:r>
            <w:r>
              <w:rPr>
                <w:rFonts w:hint="eastAsia" w:ascii="宋体" w:hAnsi="宋体"/>
                <w:szCs w:val="21"/>
              </w:rPr>
              <w:t>8.1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/10.1/10.2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88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组织的岗位、</w:t>
            </w:r>
            <w:r>
              <w:rPr>
                <w:rFonts w:hint="eastAsia"/>
                <w:lang w:val="en-US" w:eastAsia="zh-CN"/>
              </w:rPr>
              <w:t>职责权限</w:t>
            </w:r>
          </w:p>
        </w:tc>
        <w:tc>
          <w:tcPr>
            <w:tcW w:w="9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En5.3</w:t>
            </w:r>
          </w:p>
        </w:tc>
        <w:tc>
          <w:tcPr>
            <w:tcW w:w="10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制品制造部制造</w:t>
            </w:r>
            <w:r>
              <w:rPr>
                <w:rFonts w:hint="eastAsia"/>
                <w:lang w:val="en-US"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1、</w:t>
            </w:r>
            <w:r>
              <w:rPr>
                <w:rFonts w:hint="eastAsia" w:ascii="宋体" w:hAnsi="宋体"/>
                <w:szCs w:val="21"/>
              </w:rPr>
              <w:t>按照事业部年度生产经营计划，评估本部门生产能力，提出资源配置建议。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2、</w:t>
            </w:r>
            <w:r>
              <w:rPr>
                <w:rFonts w:hint="eastAsia" w:ascii="宋体" w:hAnsi="宋体"/>
                <w:szCs w:val="21"/>
              </w:rPr>
              <w:t>按照事业部生产经营计划要求，制定部门整体生产计划并组织实施。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3、</w:t>
            </w:r>
            <w:r>
              <w:rPr>
                <w:rFonts w:hint="eastAsia" w:ascii="宋体" w:hAnsi="宋体"/>
                <w:szCs w:val="21"/>
              </w:rPr>
              <w:t>及时处理生产异常，控制生产进度，确保产品按期交货。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4、</w:t>
            </w:r>
            <w:r>
              <w:rPr>
                <w:rFonts w:hint="eastAsia" w:ascii="宋体" w:hAnsi="宋体"/>
                <w:szCs w:val="21"/>
              </w:rPr>
              <w:t>承担生产过程中间控制的管理、技术改进、在制品、机物料等物料管理工作。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5、</w:t>
            </w:r>
            <w:r>
              <w:rPr>
                <w:rFonts w:hint="eastAsia" w:ascii="宋体" w:hAnsi="宋体"/>
                <w:kern w:val="0"/>
                <w:szCs w:val="21"/>
              </w:rPr>
              <w:t>控制生产成本性消耗，开展节能降耗研究工作。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6、</w:t>
            </w:r>
            <w:r>
              <w:rPr>
                <w:rFonts w:hint="eastAsia" w:ascii="宋体" w:hAnsi="宋体"/>
                <w:szCs w:val="21"/>
              </w:rPr>
              <w:t>协助技术中心完成新品（</w:t>
            </w:r>
            <w:r>
              <w:rPr>
                <w:rFonts w:hint="eastAsia" w:ascii="宋体" w:hAnsi="宋体"/>
                <w:szCs w:val="21"/>
                <w:lang w:eastAsia="zh-CN"/>
              </w:rPr>
              <w:t>特材</w:t>
            </w:r>
            <w:r>
              <w:rPr>
                <w:rFonts w:hint="eastAsia" w:ascii="宋体" w:hAnsi="宋体"/>
                <w:szCs w:val="21"/>
              </w:rPr>
              <w:t>）的试制和生产工作。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7、</w:t>
            </w:r>
            <w:r>
              <w:rPr>
                <w:rFonts w:hint="eastAsia" w:ascii="宋体" w:hAnsi="宋体"/>
                <w:szCs w:val="21"/>
              </w:rPr>
              <w:t>贯彻执行国家的能源法规、方针、政策和技术标准，执行相关公司能源管理制度；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8、</w:t>
            </w:r>
            <w:r>
              <w:rPr>
                <w:rFonts w:hint="eastAsia" w:ascii="宋体" w:hAnsi="宋体"/>
                <w:szCs w:val="21"/>
              </w:rPr>
              <w:t>参与生产新增用能项目的合理用能评价；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9、</w:t>
            </w:r>
            <w:r>
              <w:rPr>
                <w:rFonts w:hint="eastAsia" w:ascii="宋体" w:hAnsi="宋体"/>
                <w:szCs w:val="21"/>
              </w:rPr>
              <w:t>组织生产用能分析，协助节能管理工作部门完成节能监测，对发现的问题进行整改；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10、</w:t>
            </w:r>
            <w:r>
              <w:rPr>
                <w:rFonts w:hint="eastAsia" w:ascii="宋体" w:hAnsi="宋体"/>
                <w:szCs w:val="21"/>
              </w:rPr>
              <w:t>开展节能宣传，组织节能培训；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11、</w:t>
            </w:r>
            <w:r>
              <w:rPr>
                <w:rFonts w:hint="eastAsia" w:ascii="宋体" w:hAnsi="宋体"/>
                <w:szCs w:val="21"/>
              </w:rPr>
              <w:t>积极推进节能新技术、新工艺、新设备、新材料的应用。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经理对职责基本明确清晰。</w:t>
            </w:r>
          </w:p>
        </w:tc>
        <w:tc>
          <w:tcPr>
            <w:tcW w:w="884" w:type="dxa"/>
          </w:tcPr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</w:pP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21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能源目标\</w:t>
            </w:r>
            <w:r>
              <w:rPr>
                <w:rFonts w:hint="eastAsia" w:ascii="宋体" w:hAnsi="宋体"/>
                <w:szCs w:val="21"/>
              </w:rPr>
              <w:t>能源指及其实现的策划</w:t>
            </w:r>
          </w:p>
        </w:tc>
        <w:tc>
          <w:tcPr>
            <w:tcW w:w="9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En6.2</w:t>
            </w:r>
          </w:p>
        </w:tc>
        <w:tc>
          <w:tcPr>
            <w:tcW w:w="10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制品制造部</w:t>
            </w:r>
            <w:r>
              <w:rPr>
                <w:rFonts w:hint="eastAsia"/>
                <w:lang w:val="en-US" w:eastAsia="zh-CN"/>
              </w:rPr>
              <w:t>2020的能耗指标：单位产品能耗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kgce/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pStyle w:val="2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2020年单位产品能耗为1.09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kgce/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  <w:p>
            <w:pPr>
              <w:pStyle w:val="2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以2020年的实际单耗为2021年的能源目标，即2021年的能源目标为：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kgce/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  <w:p>
            <w:pPr>
              <w:pStyle w:val="2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2021年1-8月份单位产品能耗为1.28kgce/kg。</w:t>
            </w:r>
          </w:p>
          <w:p>
            <w:pPr>
              <w:pStyle w:val="2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有上述指标来看，2021年1-8月份，单位产品能耗已经高于目标值，需要进行原因分析，并制定节能措施。</w:t>
            </w:r>
          </w:p>
        </w:tc>
        <w:tc>
          <w:tcPr>
            <w:tcW w:w="884" w:type="dxa"/>
          </w:tcPr>
          <w:p/>
          <w:p>
            <w:pPr>
              <w:pStyle w:val="2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能源评审</w:t>
            </w:r>
          </w:p>
        </w:tc>
        <w:tc>
          <w:tcPr>
            <w:tcW w:w="9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En6.3</w:t>
            </w:r>
          </w:p>
        </w:tc>
        <w:tc>
          <w:tcPr>
            <w:tcW w:w="10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提供：“成都虹波实业股份有限公司能源评审报告”2021年8月10；内容包括：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能源评审基础信息（目的和范围和边界、评审期、公司能源使用基本情况、淘汰能耗落后工艺、设备概况</w:t>
            </w:r>
            <w:r>
              <w:rPr>
                <w:rFonts w:hint="eastAsia" w:eastAsia="宋体" w:cs="Times New Roman"/>
                <w:kern w:val="2"/>
                <w:sz w:val="21"/>
                <w:szCs w:val="22"/>
                <w:lang w:val="en-US" w:eastAsia="zh-CN" w:bidi="ar-SA"/>
              </w:rPr>
              <w:t>等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）</w:t>
            </w:r>
            <w:r>
              <w:rPr>
                <w:rFonts w:hint="eastAsia" w:eastAsia="宋体" w:cs="Times New Roman"/>
                <w:kern w:val="2"/>
                <w:sz w:val="21"/>
                <w:szCs w:val="22"/>
                <w:lang w:val="en-US" w:eastAsia="zh-CN" w:bidi="ar-SA"/>
              </w:rPr>
              <w:t xml:space="preserve">;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 xml:space="preserve"> 公司管理体系覆盖范围包括：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水泵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生产和销售所涉及的能源管理的能源购入、能源转换、能源分配传输和能源使用活动。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评审期：2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年1月1日～20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年12月31日。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基准期：2019年1月1日～2019年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月31日生产</w:t>
            </w:r>
            <w:r>
              <w:rPr>
                <w:rFonts w:ascii="宋体" w:hAnsi="宋体"/>
                <w:szCs w:val="21"/>
              </w:rPr>
              <w:t>周期内平均值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能源管理状况评审（能源方针目标、能源管理组织及职责、能源管理制度、能源管理、能源计量、能源统计管理、能源定额管理、近三年生产和节能技改项目</w:t>
            </w:r>
            <w:r>
              <w:rPr>
                <w:rFonts w:hint="eastAsia" w:eastAsia="宋体" w:cs="Times New Roman"/>
                <w:kern w:val="2"/>
                <w:sz w:val="21"/>
                <w:szCs w:val="22"/>
                <w:lang w:val="en-US" w:eastAsia="zh-CN" w:bidi="ar-SA"/>
              </w:rPr>
              <w:t>等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）</w:t>
            </w:r>
            <w:r>
              <w:rPr>
                <w:rFonts w:hint="eastAsia" w:eastAsia="宋体" w:cs="Times New Roman"/>
                <w:kern w:val="2"/>
                <w:sz w:val="21"/>
                <w:szCs w:val="22"/>
                <w:lang w:val="en-US" w:eastAsia="zh-CN" w:bidi="ar-SA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能源利用状况评审（能源消耗结构分析、用能设备能耗分析等）；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节能潜力分析和能源绩效优先改进机会识别（管理改进方法、项目改进方法）；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未来能源的消耗分析；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能源评审输出（能源绩效参数、能源基准和能源目标指标、影响主要能源使用的相关变量和参数控制）；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结论和建议（总体评价、建议）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2"/>
                <w:lang w:val="en-US" w:eastAsia="zh-CN" w:bidi="ar-SA"/>
              </w:rPr>
              <w:t>以上内容基本满足标准要求。</w:t>
            </w:r>
          </w:p>
        </w:tc>
        <w:tc>
          <w:tcPr>
            <w:tcW w:w="88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能源绩效参数、能源基准的确定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En6.4/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6.5</w:t>
            </w:r>
          </w:p>
        </w:tc>
        <w:tc>
          <w:tcPr>
            <w:tcW w:w="10705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制品制造部根据2019年的生产经营情况进行分析，确定2020年的单位产品能耗为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kgce/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  <w:r>
              <w:rPr>
                <w:rFonts w:hint="eastAsia"/>
                <w:lang w:val="en-US" w:eastAsia="zh-CN"/>
              </w:rPr>
              <w:t xml:space="preserve">。 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企业制定的能源绩效参数为：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综合能耗、和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单位产品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综合能耗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（</w:t>
            </w:r>
            <w:r>
              <w:rPr>
                <w:rFonts w:hint="eastAsia"/>
                <w:lang w:val="en-US" w:eastAsia="zh-CN"/>
              </w:rPr>
              <w:t>kgce/kg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）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能源基准以上年度实际发生值为基准。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根据能源评审报告分析：202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0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年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成都虹波实业股份有限公司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的能源绩效参数和能源基准确定如下;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tbl>
            <w:tblPr>
              <w:tblStyle w:val="11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8"/>
              <w:gridCol w:w="989"/>
              <w:gridCol w:w="2067"/>
              <w:gridCol w:w="1170"/>
              <w:gridCol w:w="1940"/>
              <w:gridCol w:w="1160"/>
              <w:gridCol w:w="1436"/>
              <w:gridCol w:w="75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7" w:hRule="atLeast"/>
              </w:trPr>
              <w:tc>
                <w:tcPr>
                  <w:tcW w:w="818" w:type="dxa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  <w:t>序号</w:t>
                  </w:r>
                </w:p>
              </w:tc>
              <w:tc>
                <w:tcPr>
                  <w:tcW w:w="989" w:type="dxa"/>
                </w:tcPr>
                <w:p>
                  <w:pPr>
                    <w:pStyle w:val="2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  <w:t>级别</w:t>
                  </w:r>
                </w:p>
              </w:tc>
              <w:tc>
                <w:tcPr>
                  <w:tcW w:w="2067" w:type="dxa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  <w:t>能源绩效参数</w:t>
                  </w:r>
                </w:p>
              </w:tc>
              <w:tc>
                <w:tcPr>
                  <w:tcW w:w="1170" w:type="dxa"/>
                </w:tcPr>
                <w:p>
                  <w:pPr>
                    <w:pStyle w:val="2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  <w:t>单位</w:t>
                  </w:r>
                </w:p>
              </w:tc>
              <w:tc>
                <w:tcPr>
                  <w:tcW w:w="1940" w:type="dxa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eastAsia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  <w:t>能源基准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  <w:t>（2019年）</w:t>
                  </w:r>
                </w:p>
              </w:tc>
              <w:tc>
                <w:tcPr>
                  <w:tcW w:w="1160" w:type="dxa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eastAsia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  <w:t>能源目标</w:t>
                  </w:r>
                </w:p>
                <w:p>
                  <w:pPr>
                    <w:pStyle w:val="2"/>
                    <w:ind w:left="0" w:leftChars="0" w:firstLine="0" w:firstLineChars="0"/>
                    <w:jc w:val="center"/>
                    <w:rPr>
                      <w:rFonts w:hint="default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436" w:type="dxa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eastAsia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  <w:t>完成时间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  <w:t>(2020)</w:t>
                  </w:r>
                </w:p>
              </w:tc>
              <w:tc>
                <w:tcPr>
                  <w:tcW w:w="756" w:type="dxa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67" w:hRule="atLeast"/>
              </w:trPr>
              <w:tc>
                <w:tcPr>
                  <w:tcW w:w="818" w:type="dxa"/>
                </w:tcPr>
                <w:p>
                  <w:pPr>
                    <w:pStyle w:val="2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989" w:type="dxa"/>
                </w:tcPr>
                <w:p>
                  <w:pPr>
                    <w:pStyle w:val="2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  <w:t>二</w:t>
                  </w:r>
                </w:p>
              </w:tc>
              <w:tc>
                <w:tcPr>
                  <w:tcW w:w="2067" w:type="dxa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  <w:t>单位产品综合能耗</w:t>
                  </w:r>
                </w:p>
              </w:tc>
              <w:tc>
                <w:tcPr>
                  <w:tcW w:w="1170" w:type="dxa"/>
                </w:tcPr>
                <w:p>
                  <w:pPr>
                    <w:pStyle w:val="2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  <w:t>Kgce/kg</w:t>
                  </w:r>
                </w:p>
              </w:tc>
              <w:tc>
                <w:tcPr>
                  <w:tcW w:w="1940" w:type="dxa"/>
                </w:tcPr>
                <w:p>
                  <w:pPr>
                    <w:pStyle w:val="2"/>
                    <w:ind w:left="0" w:leftChars="0" w:firstLine="440" w:firstLineChars="200"/>
                    <w:rPr>
                      <w:rFonts w:hint="default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1.4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60" w:type="dxa"/>
                  <w:vAlign w:val="top"/>
                </w:tcPr>
                <w:p>
                  <w:pPr>
                    <w:pStyle w:val="2"/>
                    <w:ind w:left="0" w:leftChars="0" w:firstLine="220" w:firstLineChars="10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1.4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36" w:type="dxa"/>
                </w:tcPr>
                <w:p>
                  <w:pPr>
                    <w:pStyle w:val="2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  <w:t>1.09</w:t>
                  </w:r>
                </w:p>
              </w:tc>
              <w:tc>
                <w:tcPr>
                  <w:tcW w:w="756" w:type="dxa"/>
                </w:tcPr>
                <w:p>
                  <w:pPr>
                    <w:pStyle w:val="2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能源数据的收集策划</w:t>
            </w:r>
          </w:p>
        </w:tc>
        <w:tc>
          <w:tcPr>
            <w:tcW w:w="9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En6.6</w:t>
            </w:r>
          </w:p>
        </w:tc>
        <w:tc>
          <w:tcPr>
            <w:tcW w:w="10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="宋体" w:hAnsi="宋体" w:eastAsia="宋体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该企业根据能源统计和能源核算以及成本考核等因素，对能源数据的收集进行了策划，并通过</w:t>
            </w: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>生产统计表（日报表）的形式予以展示，按照数据收集策划的要求对能源消耗进行成本核算和考核，基本满足企业能源管理的要求。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cs="Times New Roman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>但企业并未形成文件化或准则要求，建议企业逐步改进，已与企业进行沟通。</w:t>
            </w:r>
          </w:p>
        </w:tc>
        <w:tc>
          <w:tcPr>
            <w:tcW w:w="884" w:type="dxa"/>
          </w:tcPr>
          <w:p/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21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运行控制、沟通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En7.4/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6.6/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8.1/9.1.1</w:t>
            </w:r>
          </w:p>
        </w:tc>
        <w:tc>
          <w:tcPr>
            <w:tcW w:w="1070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>一、工艺流程：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 xml:space="preserve"> 生产工艺流程图：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textAlignment w:val="auto"/>
              <w:rPr>
                <w:rFonts w:hint="default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drawing>
                <wp:inline distT="0" distB="0" distL="114300" distR="114300">
                  <wp:extent cx="3312160" cy="3658235"/>
                  <wp:effectExtent l="0" t="0" r="2540" b="1206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2160" cy="365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021965" cy="3638550"/>
                  <wp:effectExtent l="0" t="0" r="635" b="6350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965" cy="363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drawing>
                <wp:inline distT="0" distB="0" distL="114300" distR="114300">
                  <wp:extent cx="2990215" cy="5004435"/>
                  <wp:effectExtent l="0" t="0" r="6985" b="12065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215" cy="5004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168650" cy="5010785"/>
                  <wp:effectExtent l="0" t="0" r="6350" b="5715"/>
                  <wp:docPr id="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650" cy="5010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hint="eastAsia" w:ascii="宋体" w:hAnsi="宋体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>生产</w:t>
            </w:r>
            <w:r>
              <w:rPr>
                <w:rFonts w:hint="eastAsia" w:ascii="宋体" w:hAnsi="宋体" w:cs="Times New Roman"/>
                <w:szCs w:val="22"/>
                <w:lang w:val="en-US" w:eastAsia="zh-CN"/>
              </w:rPr>
              <w:t>过程能耗</w:t>
            </w: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>控制情况：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hint="default" w:ascii="宋体" w:hAnsi="宋体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>抽查：202</w:t>
            </w:r>
            <w:r>
              <w:rPr>
                <w:rFonts w:hint="eastAsia" w:ascii="宋体" w:hAnsi="宋体" w:cs="Times New Roman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>年</w:t>
            </w:r>
            <w:r>
              <w:rPr>
                <w:rFonts w:hint="eastAsia" w:ascii="宋体" w:hAnsi="宋体" w:cs="Times New Roman"/>
                <w:szCs w:val="22"/>
                <w:lang w:val="en-US" w:eastAsia="zh-CN"/>
              </w:rPr>
              <w:t>12</w:t>
            </w: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>月</w:t>
            </w:r>
            <w:r>
              <w:rPr>
                <w:rFonts w:hint="eastAsia" w:ascii="宋体" w:hAnsi="宋体" w:cs="Times New Roman"/>
                <w:szCs w:val="22"/>
                <w:lang w:val="en-US" w:eastAsia="zh-CN"/>
              </w:rPr>
              <w:t>1号</w:t>
            </w: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>份生产统计表（日报表）和202</w:t>
            </w:r>
            <w:r>
              <w:rPr>
                <w:rFonts w:hint="eastAsia" w:ascii="宋体" w:hAnsi="宋体" w:cs="Times New Roman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>年</w:t>
            </w:r>
            <w:r>
              <w:rPr>
                <w:rFonts w:hint="eastAsia" w:ascii="宋体" w:hAnsi="宋体" w:cs="Times New Roman"/>
                <w:szCs w:val="22"/>
                <w:lang w:val="en-US" w:eastAsia="zh-CN"/>
              </w:rPr>
              <w:t>12</w:t>
            </w: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>月份生产统计表（日报表）分析当月</w:t>
            </w:r>
            <w:r>
              <w:rPr>
                <w:rFonts w:hint="eastAsia" w:ascii="宋体" w:hAnsi="宋体" w:cs="Times New Roman"/>
                <w:szCs w:val="22"/>
                <w:lang w:val="en-US" w:eastAsia="zh-CN"/>
              </w:rPr>
              <w:t>能耗</w:t>
            </w: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>与产品的消耗等数据，对能源消耗进行控制</w:t>
            </w:r>
            <w:r>
              <w:rPr>
                <w:rFonts w:hint="eastAsia" w:ascii="宋体" w:hAnsi="宋体" w:cs="Times New Roman"/>
                <w:szCs w:val="22"/>
                <w:lang w:val="en-US" w:eastAsia="zh-CN"/>
              </w:rPr>
              <w:t>。</w:t>
            </w:r>
          </w:p>
          <w:tbl>
            <w:tblPr>
              <w:tblStyle w:val="10"/>
              <w:tblW w:w="9511" w:type="dxa"/>
              <w:tblInd w:w="93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01"/>
              <w:gridCol w:w="1860"/>
              <w:gridCol w:w="2520"/>
              <w:gridCol w:w="313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8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2020年</w:t>
                  </w:r>
                </w:p>
              </w:tc>
              <w:tc>
                <w:tcPr>
                  <w:tcW w:w="313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2021年1-8月份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val="en-US" w:eastAsia="zh-CN"/>
                    </w:rPr>
                    <w:t>产量（kg）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制品制造部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495889.6453</w:t>
                  </w:r>
                </w:p>
              </w:tc>
              <w:tc>
                <w:tcPr>
                  <w:tcW w:w="31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399465.2262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01" w:type="dxa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val="en-US" w:eastAsia="zh-CN"/>
                    </w:rPr>
                    <w:t>电量（kwh）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制品制造部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4400898.74</w:t>
                  </w:r>
                </w:p>
              </w:tc>
              <w:tc>
                <w:tcPr>
                  <w:tcW w:w="31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4161113.65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01" w:type="dxa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val="en-US" w:eastAsia="zh-CN"/>
                    </w:rPr>
                    <w:t>天然气（m³）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制品制造部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246</w:t>
                  </w:r>
                </w:p>
              </w:tc>
              <w:tc>
                <w:tcPr>
                  <w:tcW w:w="31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01" w:type="dxa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val="en-US" w:eastAsia="zh-CN"/>
                    </w:rPr>
                    <w:t>水（吨）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制品制造部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694</w:t>
                  </w:r>
                </w:p>
              </w:tc>
              <w:tc>
                <w:tcPr>
                  <w:tcW w:w="31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2156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01" w:type="dxa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val="en-US" w:eastAsia="zh-CN"/>
                    </w:rPr>
                    <w:t>氢气（m³）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制品制造部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86353</w:t>
                  </w:r>
                </w:p>
              </w:tc>
              <w:tc>
                <w:tcPr>
                  <w:tcW w:w="31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87185</w:t>
                  </w:r>
                </w:p>
              </w:tc>
            </w:tr>
          </w:tbl>
          <w:p>
            <w:pPr>
              <w:pStyle w:val="3"/>
              <w:rPr>
                <w:rFonts w:hint="default"/>
                <w:lang w:val="en-US" w:eastAsia="zh-CN"/>
              </w:rPr>
            </w:pPr>
          </w:p>
          <w:p>
            <w:pPr>
              <w:pStyle w:val="3"/>
              <w:rPr>
                <w:rFonts w:hint="default"/>
                <w:lang w:val="en-US" w:eastAsia="zh-CN"/>
              </w:rPr>
            </w:pPr>
          </w:p>
          <w:p>
            <w:pPr>
              <w:pStyle w:val="3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hint="eastAsia" w:ascii="宋体" w:hAnsi="宋体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>三、设备管理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hint="eastAsia" w:ascii="宋体" w:hAnsi="宋体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>提供：设备管理制度及生产设备台账，编制了设备管理制度和生产设备台账，记录主要用能设备</w:t>
            </w:r>
            <w:r>
              <w:rPr>
                <w:rFonts w:hint="eastAsia" w:ascii="宋体" w:hAnsi="宋体" w:cs="Times New Roman"/>
                <w:szCs w:val="22"/>
                <w:lang w:val="en-US" w:eastAsia="zh-CN"/>
              </w:rPr>
              <w:t>85</w:t>
            </w: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>台，对主要耗能设备进行识别，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hint="eastAsia" w:ascii="宋体" w:hAnsi="宋体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FF"/>
                <w:szCs w:val="22"/>
                <w:lang w:val="en-US" w:eastAsia="zh-CN"/>
              </w:rPr>
              <w:t>未对主要耗能设备的能耗情况进行测试。——问题项</w:t>
            </w:r>
          </w:p>
          <w:p>
            <w:pPr>
              <w:pStyle w:val="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pStyle w:val="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pStyle w:val="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>主要耗能设备</w:t>
            </w:r>
          </w:p>
          <w:p>
            <w:pPr>
              <w:pStyle w:val="3"/>
              <w:numPr>
                <w:ilvl w:val="0"/>
                <w:numId w:val="0"/>
              </w:numPr>
              <w:ind w:firstLine="630" w:firstLineChars="300"/>
              <w:rPr>
                <w:rFonts w:hint="default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2"/>
                <w:lang w:val="en-US" w:eastAsia="zh-CN" w:bidi="ar-SA"/>
              </w:rPr>
              <w:t>中频炉、加热炉、退火炉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>等</w:t>
            </w:r>
          </w:p>
          <w:p>
            <w:pPr>
              <w:pStyle w:val="3"/>
              <w:rPr>
                <w:rFonts w:hint="eastAsia" w:ascii="宋体" w:hAnsi="宋体" w:eastAsia="宋体" w:cs="Times New Roman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ind w:leftChars="0"/>
              <w:jc w:val="left"/>
              <w:textAlignment w:val="auto"/>
              <w:rPr>
                <w:rFonts w:hint="eastAsia" w:ascii="宋体" w:hAnsi="宋体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2"/>
                <w:lang w:val="en-US" w:eastAsia="zh-CN"/>
              </w:rPr>
              <w:t>四、</w:t>
            </w: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>能源计量管理：</w:t>
            </w:r>
          </w:p>
          <w:p>
            <w:pPr>
              <w:pStyle w:val="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>提供：测量设备管理台账见下图</w:t>
            </w:r>
          </w:p>
          <w:tbl>
            <w:tblPr>
              <w:tblStyle w:val="10"/>
              <w:tblW w:w="912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32"/>
              <w:gridCol w:w="1517"/>
              <w:gridCol w:w="719"/>
              <w:gridCol w:w="722"/>
              <w:gridCol w:w="719"/>
              <w:gridCol w:w="719"/>
              <w:gridCol w:w="719"/>
              <w:gridCol w:w="719"/>
              <w:gridCol w:w="719"/>
              <w:gridCol w:w="721"/>
              <w:gridCol w:w="7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30" w:hRule="atLeast"/>
                <w:tblHeader/>
              </w:trPr>
              <w:tc>
                <w:tcPr>
                  <w:tcW w:w="113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hAnsi="宋体"/>
                      <w:sz w:val="20"/>
                    </w:rPr>
                  </w:pPr>
                  <w:r>
                    <w:rPr>
                      <w:rFonts w:hint="eastAsia" w:hAnsi="宋体"/>
                      <w:sz w:val="20"/>
                    </w:rPr>
                    <w:t>分级、分项</w:t>
                  </w:r>
                </w:p>
              </w:tc>
              <w:tc>
                <w:tcPr>
                  <w:tcW w:w="151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hAnsi="宋体"/>
                      <w:sz w:val="20"/>
                    </w:rPr>
                  </w:pPr>
                  <w:r>
                    <w:rPr>
                      <w:rFonts w:hint="eastAsia" w:hAnsi="宋体"/>
                      <w:sz w:val="20"/>
                    </w:rPr>
                    <w:t>级或项的名称</w:t>
                  </w:r>
                </w:p>
              </w:tc>
              <w:tc>
                <w:tcPr>
                  <w:tcW w:w="6478" w:type="dxa"/>
                  <w:gridSpan w:val="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hint="eastAsia" w:hAnsi="宋体"/>
                      <w:sz w:val="20"/>
                    </w:rPr>
                  </w:pPr>
                  <w:r>
                    <w:rPr>
                      <w:rFonts w:hint="eastAsia" w:hAnsi="宋体"/>
                      <w:sz w:val="20"/>
                    </w:rPr>
                    <w:t>配备的计量器具类别及数量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30" w:hRule="atLeast"/>
                <w:tblHeader/>
              </w:trPr>
              <w:tc>
                <w:tcPr>
                  <w:tcW w:w="113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宋体" w:hAnsi="宋体" w:eastAsia="宋体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51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宋体" w:hAnsi="宋体" w:eastAsia="宋体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hint="eastAsia" w:hAnsi="宋体"/>
                      <w:sz w:val="20"/>
                    </w:rPr>
                  </w:pPr>
                  <w:r>
                    <w:rPr>
                      <w:rFonts w:hint="eastAsia" w:hAnsi="宋体"/>
                      <w:sz w:val="20"/>
                    </w:rPr>
                    <w:t>电能表</w:t>
                  </w:r>
                </w:p>
              </w:tc>
              <w:tc>
                <w:tcPr>
                  <w:tcW w:w="2157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hint="eastAsia" w:hAnsi="宋体"/>
                      <w:sz w:val="20"/>
                    </w:rPr>
                  </w:pPr>
                  <w:r>
                    <w:rPr>
                      <w:rFonts w:hint="eastAsia" w:hAnsi="宋体"/>
                      <w:sz w:val="20"/>
                    </w:rPr>
                    <w:t>气体流量表(装置)</w:t>
                  </w:r>
                </w:p>
              </w:tc>
              <w:tc>
                <w:tcPr>
                  <w:tcW w:w="216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hAnsi="宋体"/>
                      <w:sz w:val="20"/>
                    </w:rPr>
                  </w:pPr>
                  <w:r>
                    <w:rPr>
                      <w:rFonts w:hint="eastAsia" w:hAnsi="宋体"/>
                      <w:sz w:val="20"/>
                    </w:rPr>
                    <w:t>水流量表</w:t>
                  </w:r>
                </w:p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hint="eastAsia" w:hAnsi="宋体"/>
                      <w:sz w:val="20"/>
                    </w:rPr>
                  </w:pPr>
                  <w:r>
                    <w:rPr>
                      <w:rFonts w:hint="eastAsia" w:hAnsi="宋体"/>
                      <w:sz w:val="20"/>
                    </w:rPr>
                    <w:t>(装置)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50" w:hRule="atLeast"/>
                <w:tblHeader/>
              </w:trPr>
              <w:tc>
                <w:tcPr>
                  <w:tcW w:w="113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宋体" w:hAnsi="宋体" w:eastAsia="宋体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51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宋体" w:hAnsi="宋体" w:eastAsia="宋体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hAnsi="宋体"/>
                      <w:sz w:val="20"/>
                    </w:rPr>
                  </w:pPr>
                  <w:r>
                    <w:rPr>
                      <w:rFonts w:hint="eastAsia" w:hAnsi="宋体"/>
                      <w:sz w:val="20"/>
                    </w:rPr>
                    <w:t>应配</w:t>
                  </w:r>
                </w:p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hAnsi="宋体"/>
                      <w:sz w:val="20"/>
                    </w:rPr>
                  </w:pPr>
                  <w:r>
                    <w:rPr>
                      <w:rFonts w:hint="eastAsia" w:hAnsi="宋体"/>
                      <w:sz w:val="20"/>
                    </w:rPr>
                    <w:t>数量（台）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hAnsi="宋体"/>
                      <w:sz w:val="20"/>
                    </w:rPr>
                  </w:pPr>
                  <w:r>
                    <w:rPr>
                      <w:rFonts w:hint="eastAsia" w:hAnsi="宋体"/>
                      <w:sz w:val="20"/>
                    </w:rPr>
                    <w:t>实配数量（台）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hint="eastAsia" w:hAnsi="宋体"/>
                      <w:sz w:val="20"/>
                    </w:rPr>
                  </w:pPr>
                  <w:r>
                    <w:rPr>
                      <w:rFonts w:hint="eastAsia" w:hAnsi="宋体"/>
                      <w:sz w:val="20"/>
                    </w:rPr>
                    <w:t>配备率</w:t>
                  </w:r>
                </w:p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hint="eastAsia" w:hAnsi="宋体"/>
                      <w:sz w:val="20"/>
                    </w:rPr>
                  </w:pPr>
                  <w:r>
                    <w:rPr>
                      <w:rFonts w:hint="eastAsia" w:hAnsi="宋体"/>
                      <w:sz w:val="20"/>
                    </w:rPr>
                    <w:t>（%）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hAnsi="宋体"/>
                      <w:sz w:val="20"/>
                    </w:rPr>
                  </w:pPr>
                  <w:r>
                    <w:rPr>
                      <w:rFonts w:hint="eastAsia" w:hAnsi="宋体"/>
                      <w:sz w:val="20"/>
                    </w:rPr>
                    <w:t>应配</w:t>
                  </w:r>
                </w:p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hAnsi="宋体"/>
                      <w:sz w:val="20"/>
                    </w:rPr>
                  </w:pPr>
                  <w:r>
                    <w:rPr>
                      <w:rFonts w:hint="eastAsia" w:hAnsi="宋体"/>
                      <w:sz w:val="20"/>
                    </w:rPr>
                    <w:t>数量（台）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hAnsi="宋体"/>
                      <w:sz w:val="20"/>
                    </w:rPr>
                  </w:pPr>
                  <w:r>
                    <w:rPr>
                      <w:rFonts w:hint="eastAsia" w:hAnsi="宋体"/>
                      <w:sz w:val="20"/>
                    </w:rPr>
                    <w:t>实配数量（台）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hint="eastAsia" w:hAnsi="宋体"/>
                      <w:sz w:val="20"/>
                    </w:rPr>
                  </w:pPr>
                  <w:r>
                    <w:rPr>
                      <w:rFonts w:hint="eastAsia" w:hAnsi="宋体"/>
                      <w:sz w:val="20"/>
                    </w:rPr>
                    <w:t>配备率</w:t>
                  </w:r>
                </w:p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hint="eastAsia" w:hAnsi="宋体"/>
                      <w:sz w:val="20"/>
                    </w:rPr>
                  </w:pPr>
                  <w:r>
                    <w:rPr>
                      <w:rFonts w:hint="eastAsia" w:hAnsi="宋体"/>
                      <w:sz w:val="20"/>
                    </w:rPr>
                    <w:t>（%）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hAnsi="宋体"/>
                      <w:sz w:val="20"/>
                    </w:rPr>
                  </w:pPr>
                  <w:r>
                    <w:rPr>
                      <w:rFonts w:hint="eastAsia" w:hAnsi="宋体"/>
                      <w:sz w:val="20"/>
                    </w:rPr>
                    <w:t>应配</w:t>
                  </w:r>
                </w:p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hAnsi="宋体"/>
                      <w:sz w:val="20"/>
                    </w:rPr>
                  </w:pPr>
                  <w:r>
                    <w:rPr>
                      <w:rFonts w:hint="eastAsia" w:hAnsi="宋体"/>
                      <w:sz w:val="20"/>
                    </w:rPr>
                    <w:t>数量（台）</w:t>
                  </w:r>
                </w:p>
              </w:tc>
              <w:tc>
                <w:tcPr>
                  <w:tcW w:w="7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hAnsi="宋体"/>
                      <w:sz w:val="20"/>
                    </w:rPr>
                  </w:pPr>
                  <w:r>
                    <w:rPr>
                      <w:rFonts w:hint="eastAsia" w:hAnsi="宋体"/>
                      <w:sz w:val="20"/>
                    </w:rPr>
                    <w:t>实配数量（台）</w:t>
                  </w:r>
                </w:p>
              </w:tc>
              <w:tc>
                <w:tcPr>
                  <w:tcW w:w="7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hint="eastAsia" w:hAnsi="宋体"/>
                      <w:sz w:val="20"/>
                    </w:rPr>
                  </w:pPr>
                  <w:r>
                    <w:rPr>
                      <w:rFonts w:hint="eastAsia" w:hAnsi="宋体"/>
                      <w:sz w:val="20"/>
                    </w:rPr>
                    <w:t>配备率</w:t>
                  </w:r>
                </w:p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hint="eastAsia" w:hAnsi="宋体"/>
                      <w:sz w:val="20"/>
                    </w:rPr>
                  </w:pPr>
                  <w:r>
                    <w:rPr>
                      <w:rFonts w:hint="eastAsia" w:hAnsi="宋体"/>
                      <w:sz w:val="20"/>
                    </w:rPr>
                    <w:t>（%）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08" w:hRule="atLeast"/>
                <w:tblHeader/>
              </w:trPr>
              <w:tc>
                <w:tcPr>
                  <w:tcW w:w="11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hAnsi="宋体"/>
                      <w:sz w:val="20"/>
                    </w:rPr>
                  </w:pPr>
                  <w:r>
                    <w:rPr>
                      <w:rFonts w:hint="eastAsia" w:hAnsi="宋体"/>
                      <w:sz w:val="20"/>
                    </w:rPr>
                    <w:t>进出用能单位</w:t>
                  </w:r>
                </w:p>
              </w:tc>
              <w:tc>
                <w:tcPr>
                  <w:tcW w:w="15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rPr>
                      <w:rFonts w:hAnsi="宋体"/>
                      <w:sz w:val="20"/>
                    </w:rPr>
                  </w:pPr>
                  <w:r>
                    <w:rPr>
                      <w:rFonts w:hint="eastAsia" w:hAnsi="宋体"/>
                      <w:sz w:val="20"/>
                    </w:rPr>
                    <w:t>成都虹波实业股份有限公司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2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2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100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3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3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宋体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2</w:t>
                  </w:r>
                </w:p>
              </w:tc>
              <w:tc>
                <w:tcPr>
                  <w:tcW w:w="7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2</w:t>
                  </w:r>
                </w:p>
              </w:tc>
              <w:tc>
                <w:tcPr>
                  <w:tcW w:w="7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宋体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100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09" w:hRule="atLeast"/>
              </w:trPr>
              <w:tc>
                <w:tcPr>
                  <w:tcW w:w="113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hAnsi="宋体"/>
                      <w:sz w:val="20"/>
                    </w:rPr>
                  </w:pPr>
                  <w:r>
                    <w:rPr>
                      <w:rFonts w:hint="eastAsia" w:hAnsi="宋体"/>
                      <w:sz w:val="20"/>
                    </w:rPr>
                    <w:t>进出主要次级用能单位</w:t>
                  </w:r>
                </w:p>
              </w:tc>
              <w:tc>
                <w:tcPr>
                  <w:tcW w:w="15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 w:val="0"/>
                    <w:jc w:val="both"/>
                    <w:rPr>
                      <w:rFonts w:ascii="宋体" w:hAnsi="宋体" w:eastAsia="宋体"/>
                      <w:kern w:val="2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sz w:val="20"/>
                      <w:szCs w:val="20"/>
                    </w:rPr>
                    <w:t>1 钼粉制造部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 w:val="0"/>
                    <w:spacing w:after="0"/>
                    <w:jc w:val="center"/>
                    <w:rPr>
                      <w:rFonts w:ascii="Times New Roman" w:hAnsi="Times New Roman" w:eastAsia="宋体"/>
                      <w:kern w:val="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 w:val="0"/>
                    <w:spacing w:after="0"/>
                    <w:jc w:val="center"/>
                    <w:rPr>
                      <w:rFonts w:ascii="Times New Roman" w:hAnsi="Times New Roman" w:eastAsia="宋体"/>
                      <w:kern w:val="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宋体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 w:val="0"/>
                    <w:spacing w:after="0"/>
                    <w:jc w:val="center"/>
                    <w:rPr>
                      <w:rFonts w:ascii="Times New Roman" w:hAnsi="Times New Roman" w:eastAsia="宋体"/>
                      <w:kern w:val="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 w:val="0"/>
                    <w:spacing w:after="0"/>
                    <w:jc w:val="center"/>
                    <w:rPr>
                      <w:rFonts w:ascii="Times New Roman" w:hAnsi="Times New Roman" w:eastAsia="宋体"/>
                      <w:kern w:val="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宋体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 w:val="0"/>
                    <w:spacing w:after="0"/>
                    <w:jc w:val="center"/>
                    <w:rPr>
                      <w:rFonts w:ascii="Times New Roman" w:hAnsi="Times New Roman" w:eastAsia="宋体"/>
                      <w:kern w:val="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 w:val="0"/>
                    <w:spacing w:after="0"/>
                    <w:jc w:val="center"/>
                    <w:rPr>
                      <w:rFonts w:ascii="Times New Roman" w:hAnsi="Times New Roman" w:eastAsia="宋体"/>
                      <w:kern w:val="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宋体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100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09" w:hRule="atLeast"/>
              </w:trPr>
              <w:tc>
                <w:tcPr>
                  <w:tcW w:w="113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宋体" w:hAnsi="宋体" w:eastAsia="宋体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5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 w:val="0"/>
                    <w:jc w:val="both"/>
                    <w:rPr>
                      <w:rFonts w:ascii="宋体" w:hAnsi="宋体" w:eastAsia="宋体"/>
                      <w:kern w:val="2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sz w:val="20"/>
                      <w:szCs w:val="20"/>
                    </w:rPr>
                    <w:t>2丝材部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 w:val="0"/>
                    <w:spacing w:after="0"/>
                    <w:jc w:val="center"/>
                    <w:rPr>
                      <w:rFonts w:ascii="Times New Roman" w:hAnsi="Times New Roman" w:eastAsia="宋体"/>
                      <w:kern w:val="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 w:val="0"/>
                    <w:spacing w:after="0"/>
                    <w:jc w:val="center"/>
                    <w:rPr>
                      <w:rFonts w:ascii="Times New Roman" w:hAnsi="Times New Roman" w:eastAsia="宋体"/>
                      <w:kern w:val="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宋体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 w:val="0"/>
                    <w:spacing w:after="0"/>
                    <w:jc w:val="center"/>
                    <w:rPr>
                      <w:rFonts w:ascii="Times New Roman" w:hAnsi="Times New Roman" w:eastAsia="宋体"/>
                      <w:kern w:val="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 w:val="0"/>
                    <w:spacing w:after="0"/>
                    <w:jc w:val="center"/>
                    <w:rPr>
                      <w:rFonts w:ascii="Times New Roman" w:hAnsi="Times New Roman" w:eastAsia="宋体"/>
                      <w:kern w:val="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宋体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 w:val="0"/>
                    <w:spacing w:after="0"/>
                    <w:jc w:val="center"/>
                    <w:rPr>
                      <w:rFonts w:ascii="Times New Roman" w:hAnsi="Times New Roman" w:eastAsia="宋体"/>
                      <w:kern w:val="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 w:val="0"/>
                    <w:spacing w:after="0"/>
                    <w:jc w:val="center"/>
                    <w:rPr>
                      <w:rFonts w:ascii="Times New Roman" w:hAnsi="Times New Roman" w:eastAsia="宋体"/>
                      <w:kern w:val="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宋体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100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09" w:hRule="atLeast"/>
              </w:trPr>
              <w:tc>
                <w:tcPr>
                  <w:tcW w:w="113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宋体" w:hAnsi="宋体" w:eastAsia="宋体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5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rPr>
                      <w:rFonts w:hAnsi="宋体"/>
                      <w:sz w:val="20"/>
                    </w:rPr>
                  </w:pPr>
                  <w:r>
                    <w:rPr>
                      <w:rFonts w:hint="eastAsia" w:hAnsi="宋体"/>
                      <w:sz w:val="20"/>
                    </w:rPr>
                    <w:t>3 制品制造部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宋体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2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2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宋体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2</w:t>
                  </w:r>
                </w:p>
              </w:tc>
              <w:tc>
                <w:tcPr>
                  <w:tcW w:w="7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2</w:t>
                  </w:r>
                </w:p>
              </w:tc>
              <w:tc>
                <w:tcPr>
                  <w:tcW w:w="7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宋体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100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09" w:hRule="atLeast"/>
              </w:trPr>
              <w:tc>
                <w:tcPr>
                  <w:tcW w:w="113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宋体" w:hAnsi="宋体" w:eastAsia="宋体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5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rPr>
                      <w:rFonts w:hAnsi="宋体"/>
                      <w:sz w:val="20"/>
                    </w:rPr>
                  </w:pPr>
                  <w:r>
                    <w:rPr>
                      <w:rFonts w:hint="eastAsia" w:hAnsi="宋体"/>
                      <w:sz w:val="20"/>
                    </w:rPr>
                    <w:t>4 军品生产部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宋体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2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2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宋体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2</w:t>
                  </w:r>
                </w:p>
              </w:tc>
              <w:tc>
                <w:tcPr>
                  <w:tcW w:w="7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2</w:t>
                  </w:r>
                </w:p>
              </w:tc>
              <w:tc>
                <w:tcPr>
                  <w:tcW w:w="7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宋体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100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09" w:hRule="atLeast"/>
              </w:trPr>
              <w:tc>
                <w:tcPr>
                  <w:tcW w:w="113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宋体" w:hAnsi="宋体" w:eastAsia="宋体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5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rPr>
                      <w:rFonts w:hAnsi="宋体"/>
                      <w:sz w:val="20"/>
                    </w:rPr>
                  </w:pPr>
                  <w:r>
                    <w:rPr>
                      <w:rFonts w:hint="eastAsia" w:hAnsi="宋体"/>
                      <w:sz w:val="20"/>
                    </w:rPr>
                    <w:t>5 设备动力部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宋体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/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/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宋体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7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7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宋体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100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09" w:hRule="atLeast"/>
              </w:trPr>
              <w:tc>
                <w:tcPr>
                  <w:tcW w:w="113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宋体" w:hAnsi="宋体" w:eastAsia="宋体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5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hAnsi="宋体"/>
                      <w:sz w:val="20"/>
                    </w:rPr>
                  </w:pPr>
                  <w:r>
                    <w:rPr>
                      <w:rFonts w:hint="eastAsia" w:hAnsi="宋体"/>
                      <w:sz w:val="20"/>
                    </w:rPr>
                    <w:t>合计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7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7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宋体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8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8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宋体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8</w:t>
                  </w:r>
                </w:p>
              </w:tc>
              <w:tc>
                <w:tcPr>
                  <w:tcW w:w="7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8</w:t>
                  </w:r>
                </w:p>
              </w:tc>
              <w:tc>
                <w:tcPr>
                  <w:tcW w:w="7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宋体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100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09" w:hRule="atLeast"/>
              </w:trPr>
              <w:tc>
                <w:tcPr>
                  <w:tcW w:w="113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hAnsi="宋体"/>
                      <w:sz w:val="20"/>
                    </w:rPr>
                  </w:pPr>
                  <w:r>
                    <w:rPr>
                      <w:rFonts w:hint="eastAsia" w:hAnsi="宋体"/>
                      <w:sz w:val="20"/>
                    </w:rPr>
                    <w:t>主要用能设备</w:t>
                  </w:r>
                </w:p>
              </w:tc>
              <w:tc>
                <w:tcPr>
                  <w:tcW w:w="15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rPr>
                      <w:rFonts w:hAnsi="宋体"/>
                      <w:sz w:val="20"/>
                    </w:rPr>
                  </w:pPr>
                  <w:r>
                    <w:rPr>
                      <w:rFonts w:hint="eastAsia" w:hAnsi="宋体"/>
                      <w:sz w:val="20"/>
                    </w:rPr>
                    <w:t>1钼粉制造部十五管炉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7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7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宋体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/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/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/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/</w:t>
                  </w:r>
                </w:p>
              </w:tc>
              <w:tc>
                <w:tcPr>
                  <w:tcW w:w="7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/</w:t>
                  </w:r>
                </w:p>
              </w:tc>
              <w:tc>
                <w:tcPr>
                  <w:tcW w:w="7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09" w:hRule="atLeast"/>
              </w:trPr>
              <w:tc>
                <w:tcPr>
                  <w:tcW w:w="113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宋体" w:hAnsi="宋体" w:eastAsia="宋体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5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rPr>
                      <w:rFonts w:hAnsi="宋体"/>
                      <w:sz w:val="20"/>
                    </w:rPr>
                  </w:pPr>
                  <w:r>
                    <w:rPr>
                      <w:rFonts w:hint="eastAsia" w:hAnsi="宋体"/>
                      <w:sz w:val="20"/>
                    </w:rPr>
                    <w:t>2制品制造部中频炉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6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6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宋体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/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/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/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/</w:t>
                  </w:r>
                </w:p>
              </w:tc>
              <w:tc>
                <w:tcPr>
                  <w:tcW w:w="7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/</w:t>
                  </w:r>
                </w:p>
              </w:tc>
              <w:tc>
                <w:tcPr>
                  <w:tcW w:w="7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/</w:t>
                  </w:r>
                </w:p>
              </w:tc>
            </w:tr>
          </w:tbl>
          <w:p>
            <w:pPr>
              <w:pStyle w:val="4"/>
              <w:spacing w:before="0" w:after="0" w:line="40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pStyle w:val="4"/>
              <w:spacing w:before="0" w:after="0" w:line="40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五、淘汰能耗落后工艺、设备概况</w:t>
            </w:r>
          </w:p>
          <w:p>
            <w:pPr>
              <w:pStyle w:val="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按照国家政策法规文件识别</w:t>
            </w: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成都虹波实业股份有限公司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无相关能耗落后的工艺，</w:t>
            </w: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也无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淘汰落后设备。</w:t>
            </w:r>
          </w:p>
          <w:p>
            <w:pPr>
              <w:pStyle w:val="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pStyle w:val="3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ind w:leftChars="0"/>
              <w:jc w:val="left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>能源绩效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pStyle w:val="2"/>
              <w:ind w:firstLine="240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>2019年公司生产能源消耗实际情况：</w:t>
            </w:r>
          </w:p>
          <w:p>
            <w:pPr>
              <w:pStyle w:val="2"/>
              <w:ind w:firstLine="240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>2019年综合能耗为：275908.8kgce</w:t>
            </w:r>
          </w:p>
          <w:p>
            <w:pPr>
              <w:pStyle w:val="2"/>
              <w:ind w:firstLine="240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>2019年总产量为：195386.7kg</w:t>
            </w:r>
          </w:p>
          <w:p>
            <w:pPr>
              <w:pStyle w:val="2"/>
              <w:ind w:firstLine="240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>单位产品能耗为：1.41kgce/kg</w:t>
            </w:r>
          </w:p>
          <w:p>
            <w:pPr>
              <w:pStyle w:val="2"/>
              <w:ind w:firstLine="240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pStyle w:val="2"/>
              <w:ind w:firstLine="240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>2020年公司生产能源消耗实际情况：</w:t>
            </w:r>
          </w:p>
          <w:p>
            <w:pPr>
              <w:pStyle w:val="2"/>
              <w:ind w:firstLine="240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>2020年综合能耗为：541376.06kgce</w:t>
            </w:r>
          </w:p>
          <w:p>
            <w:pPr>
              <w:pStyle w:val="2"/>
              <w:ind w:firstLine="240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>2020年总产量为：495889.65kg</w:t>
            </w:r>
          </w:p>
          <w:p>
            <w:pPr>
              <w:pStyle w:val="2"/>
              <w:ind w:firstLine="240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>单位产品能耗为：1.09kgce/kg</w:t>
            </w:r>
          </w:p>
          <w:p>
            <w:pPr>
              <w:pStyle w:val="2"/>
              <w:ind w:firstLine="240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pStyle w:val="2"/>
              <w:ind w:firstLine="240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>2021年1月-8月用能情况如下：</w:t>
            </w:r>
          </w:p>
          <w:p>
            <w:pPr>
              <w:pStyle w:val="2"/>
              <w:ind w:firstLine="240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>2021年1月-8月综合能耗为：511955.18kgce</w:t>
            </w:r>
          </w:p>
          <w:p>
            <w:pPr>
              <w:pStyle w:val="2"/>
              <w:ind w:firstLine="240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>2021年1月-8月总产量为：399465.23kg</w:t>
            </w:r>
          </w:p>
          <w:p>
            <w:pPr>
              <w:pStyle w:val="2"/>
              <w:ind w:firstLine="240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>单位产品能耗为：1.28kgce/kg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ind w:leftChars="0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ind w:leftChars="0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>七、现场巡视情况：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ind w:leftChars="0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>现场查看生产控制和设备运行情况，部分生产设备正在运行现场生产秩序良好，未发现跑冒滴漏现象；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ind w:leftChars="0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>现场计量设备有计量确认合格证。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ind w:leftChars="0"/>
              <w:textAlignment w:val="auto"/>
              <w:rPr>
                <w:rFonts w:hint="default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114300" distR="114300">
                  <wp:extent cx="2800350" cy="1725930"/>
                  <wp:effectExtent l="0" t="0" r="6350" b="1270"/>
                  <wp:docPr id="52" name="图片 52" descr="e98ad7160667d0cd66ea2b139800d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2" descr="e98ad7160667d0cd66ea2b139800d3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172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Times New Roman"/>
                <w:kern w:val="2"/>
                <w:sz w:val="21"/>
                <w:szCs w:val="22"/>
                <w:lang w:val="en-US" w:eastAsia="zh-CN" w:bidi="ar-S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default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114300" distR="114300">
                  <wp:extent cx="2472690" cy="1723390"/>
                  <wp:effectExtent l="0" t="0" r="3810" b="3810"/>
                  <wp:docPr id="53" name="图片 53" descr="454ca2bf0f1ef4407ea9c4819da9a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 descr="454ca2bf0f1ef4407ea9c4819da9a5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2690" cy="172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ind w:leftChars="0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ind w:leftChars="0"/>
              <w:textAlignment w:val="auto"/>
              <w:rPr>
                <w:rFonts w:hint="default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114300" distR="114300">
                  <wp:extent cx="2940685" cy="1992630"/>
                  <wp:effectExtent l="0" t="0" r="5715" b="1270"/>
                  <wp:docPr id="54" name="图片 54" descr="f1502d995473d40f9717903bd070e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54" descr="f1502d995473d40f9717903bd070ed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1992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Times New Roman"/>
                <w:kern w:val="2"/>
                <w:sz w:val="21"/>
                <w:szCs w:val="22"/>
                <w:lang w:val="en-US" w:eastAsia="zh-CN" w:bidi="ar-SA"/>
              </w:rPr>
              <w:t xml:space="preserve">     </w:t>
            </w:r>
            <w:r>
              <w:rPr>
                <w:rFonts w:hint="default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114300" distR="114300">
                  <wp:extent cx="2871470" cy="2011680"/>
                  <wp:effectExtent l="0" t="0" r="11430" b="7620"/>
                  <wp:docPr id="55" name="图片 55" descr="db8389f569a4fcf61e306939e8c86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55" descr="db8389f569a4fcf61e306939e8c86cc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1470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ind w:leftChars="0"/>
              <w:textAlignment w:val="auto"/>
              <w:rPr>
                <w:rFonts w:hint="default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2"/>
                <w:lang w:val="en-US" w:eastAsia="zh-CN" w:bidi="ar-SA"/>
              </w:rPr>
              <w:t xml:space="preserve"> 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ind w:leftChars="0"/>
              <w:textAlignment w:val="auto"/>
              <w:rPr>
                <w:rFonts w:hint="default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2"/>
                <w:lang w:val="en-US" w:eastAsia="zh-CN" w:bidi="ar-SA"/>
              </w:rPr>
              <w:t xml:space="preserve">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ind w:leftChars="0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bookmarkStart w:id="0" w:name="_GoBack"/>
            <w:bookmarkEnd w:id="0"/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ind w:leftChars="0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>生产控制及设备运行情况</w:t>
            </w:r>
            <w:r>
              <w:rPr>
                <w:rFonts w:hint="eastAsia" w:ascii="宋体" w:hAnsi="宋体" w:cs="Times New Roman"/>
                <w:kern w:val="2"/>
                <w:sz w:val="21"/>
                <w:szCs w:val="22"/>
                <w:lang w:val="en-US" w:eastAsia="zh-CN" w:bidi="ar-SA"/>
              </w:rPr>
              <w:t>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>抽查《</w:t>
            </w:r>
            <w:r>
              <w:rPr>
                <w:rFonts w:hint="eastAsia" w:ascii="宋体" w:hAnsi="宋体" w:cs="Times New Roman"/>
                <w:kern w:val="2"/>
                <w:sz w:val="21"/>
                <w:szCs w:val="22"/>
                <w:lang w:val="en-US" w:eastAsia="zh-CN" w:bidi="ar-SA"/>
              </w:rPr>
              <w:t>粉坯车削作业指导书》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>规定了操作标准，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textAlignment w:val="auto"/>
              <w:rPr>
                <w:rFonts w:hint="eastAsia" w:ascii="宋体" w:hAnsi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2"/>
                <w:lang w:val="en-US" w:eastAsia="zh-CN" w:bidi="ar-SA"/>
              </w:rPr>
              <w:t>编制：华鹏     审核：成小斌    批准：刘家爽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textAlignment w:val="auto"/>
              <w:rPr>
                <w:rFonts w:hint="default" w:ascii="宋体" w:hAnsi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2"/>
                <w:lang w:val="en-US" w:eastAsia="zh-CN" w:bidi="ar-SA"/>
              </w:rPr>
              <w:t>时间：2021.4.20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ind w:leftChars="0"/>
              <w:textAlignment w:val="auto"/>
              <w:rPr>
                <w:rFonts w:hint="eastAsia" w:ascii="宋体" w:hAnsi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2"/>
                <w:lang w:val="en-US" w:eastAsia="zh-CN" w:bidi="ar-SA"/>
              </w:rPr>
              <w:t>现场查看操作规程情况：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ind w:leftChars="0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>提供《作业</w:t>
            </w:r>
            <w:r>
              <w:rPr>
                <w:rFonts w:hint="eastAsia" w:ascii="宋体" w:hAnsi="宋体" w:cs="Times New Roman"/>
                <w:kern w:val="2"/>
                <w:sz w:val="21"/>
                <w:szCs w:val="22"/>
                <w:lang w:val="en-US" w:eastAsia="zh-CN" w:bidi="ar-SA"/>
              </w:rPr>
              <w:t>记录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>》，平时的操作能够按照标准进行操作。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540000" cy="3451225"/>
                  <wp:effectExtent l="0" t="0" r="0" b="3175"/>
                  <wp:docPr id="7" name="图片 7" descr="1e8a53839d567122c7a520d66918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e8a53839d567122c7a520d669189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0" cy="345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设备维护保养的情况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：</w:t>
            </w:r>
          </w:p>
          <w:p>
            <w:pPr>
              <w:tabs>
                <w:tab w:val="left" w:pos="1660"/>
                <w:tab w:val="center" w:pos="7286"/>
              </w:tabs>
              <w:spacing w:line="400" w:lineRule="exact"/>
              <w:jc w:val="both"/>
              <w:textAlignment w:val="baseline"/>
              <w:rPr>
                <w:rFonts w:hint="eastAsia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提供《设备维护保养规程》和《设备保养计划》并提供《设备维护保养检查表》、《设备点检表》如下图：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6123305" cy="4592955"/>
                  <wp:effectExtent l="0" t="0" r="10795" b="4445"/>
                  <wp:docPr id="8" name="图片 8" descr="2699b35fa01255a3fc4b7b91ad27d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2699b35fa01255a3fc4b7b91ad27d7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3305" cy="459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884" w:type="dxa"/>
          </w:tcPr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 xml:space="preserve">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21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不符合纠正/持续改进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En10.1/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10.2</w:t>
            </w:r>
          </w:p>
        </w:tc>
        <w:tc>
          <w:tcPr>
            <w:tcW w:w="10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ascii="Times New Roman" w:hAnsi="Times New Roman" w:eastAsia="宋体" w:cs="Times New Roman"/>
                <w:color w:val="0000FF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0000FF"/>
                <w:szCs w:val="22"/>
                <w:lang w:val="en-US" w:eastAsia="zh-CN"/>
              </w:rPr>
              <w:t>经检查发现，2021年1-8月份的单位产品能耗以及超目标，没有进行原因分析，并制定节能措施。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内审不符合项：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内部审核发现1个不符合项，已经整改完毕，并制定了纠正措施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现场验证：纠正措施有效。</w:t>
            </w:r>
            <w:r>
              <w:rPr>
                <w:rFonts w:hint="eastAsia"/>
                <w:lang w:val="en-US" w:eastAsia="zh-CN"/>
              </w:rPr>
              <w:t xml:space="preserve">    </w:t>
            </w:r>
          </w:p>
        </w:tc>
        <w:tc>
          <w:tcPr>
            <w:tcW w:w="884" w:type="dxa"/>
          </w:tcPr>
          <w:p/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</w:tr>
    </w:tbl>
    <w:p>
      <w:pPr>
        <w:pStyle w:val="2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/>
    <w:p>
      <w:pPr>
        <w:pStyle w:val="7"/>
      </w:pPr>
    </w:p>
    <w:p>
      <w:pPr>
        <w:pStyle w:val="7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7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7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F8C1E2"/>
    <w:multiLevelType w:val="singleLevel"/>
    <w:tmpl w:val="8CF8C1E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5FCE0DA"/>
    <w:multiLevelType w:val="singleLevel"/>
    <w:tmpl w:val="05FCE0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3D91676"/>
    <w:multiLevelType w:val="singleLevel"/>
    <w:tmpl w:val="23D9167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87C4961"/>
    <w:multiLevelType w:val="singleLevel"/>
    <w:tmpl w:val="387C496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536930"/>
    <w:rsid w:val="00564E53"/>
    <w:rsid w:val="005D5659"/>
    <w:rsid w:val="00600C20"/>
    <w:rsid w:val="00644FE2"/>
    <w:rsid w:val="0067640C"/>
    <w:rsid w:val="006E678B"/>
    <w:rsid w:val="007757F3"/>
    <w:rsid w:val="007C1B48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97A03F3"/>
    <w:rsid w:val="0B4D08ED"/>
    <w:rsid w:val="0D502897"/>
    <w:rsid w:val="0E9D36FE"/>
    <w:rsid w:val="0EC22237"/>
    <w:rsid w:val="10024BD4"/>
    <w:rsid w:val="108219C2"/>
    <w:rsid w:val="153F1A43"/>
    <w:rsid w:val="18E0378C"/>
    <w:rsid w:val="1B635529"/>
    <w:rsid w:val="1D2F1751"/>
    <w:rsid w:val="1D5E1FB0"/>
    <w:rsid w:val="1E92443A"/>
    <w:rsid w:val="1F303612"/>
    <w:rsid w:val="22F3151F"/>
    <w:rsid w:val="23F57CAA"/>
    <w:rsid w:val="25302F06"/>
    <w:rsid w:val="25726879"/>
    <w:rsid w:val="25AD6377"/>
    <w:rsid w:val="265042EE"/>
    <w:rsid w:val="29550A82"/>
    <w:rsid w:val="2B882F6D"/>
    <w:rsid w:val="2C615A70"/>
    <w:rsid w:val="2CB52A35"/>
    <w:rsid w:val="2D5D32D6"/>
    <w:rsid w:val="2FDA7696"/>
    <w:rsid w:val="3414352C"/>
    <w:rsid w:val="366F12A2"/>
    <w:rsid w:val="37022033"/>
    <w:rsid w:val="38F903D7"/>
    <w:rsid w:val="397A1146"/>
    <w:rsid w:val="3D164739"/>
    <w:rsid w:val="3E500208"/>
    <w:rsid w:val="3FD87230"/>
    <w:rsid w:val="435D7392"/>
    <w:rsid w:val="451658FE"/>
    <w:rsid w:val="48EE64E2"/>
    <w:rsid w:val="49907112"/>
    <w:rsid w:val="5062731F"/>
    <w:rsid w:val="51B355DC"/>
    <w:rsid w:val="51CB0431"/>
    <w:rsid w:val="531A2739"/>
    <w:rsid w:val="56686FBC"/>
    <w:rsid w:val="56955064"/>
    <w:rsid w:val="59BC5965"/>
    <w:rsid w:val="5DD945F3"/>
    <w:rsid w:val="5EA12B9A"/>
    <w:rsid w:val="60A703C5"/>
    <w:rsid w:val="665253F3"/>
    <w:rsid w:val="66957D31"/>
    <w:rsid w:val="6A997D30"/>
    <w:rsid w:val="6B0B1B64"/>
    <w:rsid w:val="6B317C7C"/>
    <w:rsid w:val="6B651E3A"/>
    <w:rsid w:val="6C3312C7"/>
    <w:rsid w:val="70F503F3"/>
    <w:rsid w:val="72116B74"/>
    <w:rsid w:val="75532C29"/>
    <w:rsid w:val="76705E2D"/>
    <w:rsid w:val="788C0C63"/>
    <w:rsid w:val="790565FF"/>
    <w:rsid w:val="7AEC0F33"/>
    <w:rsid w:val="7CDA12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sz w:val="24"/>
    </w:rPr>
  </w:style>
  <w:style w:type="paragraph" w:styleId="5">
    <w:name w:val="Plain Text"/>
    <w:basedOn w:val="1"/>
    <w:unhideWhenUsed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/>
      <w:kern w:val="2"/>
      <w:sz w:val="21"/>
      <w:szCs w:val="20"/>
    </w:r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Table Grid"/>
    <w:basedOn w:val="10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4">
    <w:name w:val="页眉 字符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字符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2</TotalTime>
  <ScaleCrop>false</ScaleCrop>
  <LinksUpToDate>false</LinksUpToDate>
  <CharactersWithSpaces>147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2021-09-12T12:56:18Z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A2A87B4AA3C04090A0C757B97B7400CA</vt:lpwstr>
  </property>
</Properties>
</file>