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Merge w:val="restart"/>
            <w:vAlign w:val="center"/>
          </w:tcPr>
          <w:p>
            <w:pPr>
              <w:numPr>
                <w:ilvl w:val="0"/>
                <w:numId w:val="0"/>
              </w:numPr>
              <w:ind w:firstLine="420" w:firstLineChars="200"/>
              <w:rPr>
                <w:rFonts w:hint="eastAsia"/>
                <w:szCs w:val="22"/>
                <w:lang w:val="en-US" w:eastAsia="zh-CN"/>
              </w:rPr>
            </w:pPr>
            <w:r>
              <w:rPr>
                <w:rFonts w:hint="eastAsia"/>
                <w:szCs w:val="22"/>
                <w:lang w:val="en-US" w:eastAsia="zh-CN"/>
              </w:rPr>
              <w:t>过程与活动、</w:t>
            </w:r>
          </w:p>
          <w:p>
            <w:pPr>
              <w:numPr>
                <w:ilvl w:val="0"/>
                <w:numId w:val="0"/>
              </w:numPr>
              <w:ind w:firstLine="420" w:firstLineChars="200"/>
              <w:rPr>
                <w:rFonts w:hint="eastAsia"/>
                <w:szCs w:val="22"/>
                <w:lang w:val="en-US" w:eastAsia="zh-CN"/>
              </w:rPr>
            </w:pPr>
            <w:r>
              <w:rPr>
                <w:rFonts w:hint="eastAsia"/>
                <w:szCs w:val="22"/>
                <w:lang w:val="en-US" w:eastAsia="zh-CN"/>
              </w:rPr>
              <w:t>抽样计划</w:t>
            </w:r>
          </w:p>
        </w:tc>
        <w:tc>
          <w:tcPr>
            <w:tcW w:w="960" w:type="dxa"/>
            <w:vMerge w:val="restart"/>
            <w:vAlign w:val="center"/>
          </w:tcPr>
          <w:p>
            <w:pPr>
              <w:numPr>
                <w:ilvl w:val="0"/>
                <w:numId w:val="0"/>
              </w:numPr>
              <w:rPr>
                <w:rFonts w:hint="eastAsia"/>
                <w:szCs w:val="22"/>
                <w:lang w:val="en-US" w:eastAsia="zh-CN"/>
              </w:rPr>
            </w:pPr>
            <w:r>
              <w:rPr>
                <w:rFonts w:hint="eastAsia"/>
                <w:szCs w:val="22"/>
                <w:lang w:val="en-US" w:eastAsia="zh-CN"/>
              </w:rPr>
              <w:t>涉及</w:t>
            </w:r>
          </w:p>
          <w:p>
            <w:pPr>
              <w:numPr>
                <w:ilvl w:val="0"/>
                <w:numId w:val="0"/>
              </w:numPr>
              <w:rPr>
                <w:rFonts w:hint="eastAsia"/>
                <w:szCs w:val="22"/>
                <w:lang w:val="en-US" w:eastAsia="zh-CN"/>
              </w:rPr>
            </w:pPr>
            <w:r>
              <w:rPr>
                <w:rFonts w:hint="eastAsia"/>
                <w:szCs w:val="22"/>
                <w:lang w:val="en-US" w:eastAsia="zh-CN"/>
              </w:rPr>
              <w:t>条款</w:t>
            </w:r>
          </w:p>
        </w:tc>
        <w:tc>
          <w:tcPr>
            <w:tcW w:w="10376" w:type="dxa"/>
            <w:vAlign w:val="center"/>
          </w:tcPr>
          <w:p>
            <w:pPr>
              <w:numPr>
                <w:ilvl w:val="0"/>
                <w:numId w:val="0"/>
              </w:numPr>
              <w:rPr>
                <w:rFonts w:hint="eastAsia"/>
                <w:szCs w:val="22"/>
                <w:lang w:val="en-US" w:eastAsia="zh-CN"/>
              </w:rPr>
            </w:pPr>
            <w:r>
              <w:rPr>
                <w:rFonts w:hint="eastAsia"/>
                <w:szCs w:val="22"/>
                <w:lang w:val="en-US" w:eastAsia="zh-CN"/>
              </w:rPr>
              <w:t>受审核部门：人力资源部    主管领导：黄艳         陪同人员：孙红云</w:t>
            </w:r>
          </w:p>
        </w:tc>
        <w:tc>
          <w:tcPr>
            <w:tcW w:w="1213"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numPr>
                <w:ilvl w:val="0"/>
                <w:numId w:val="0"/>
              </w:numPr>
              <w:ind w:firstLine="420" w:firstLineChars="200"/>
              <w:rPr>
                <w:rFonts w:hint="eastAsia"/>
                <w:szCs w:val="22"/>
                <w:lang w:val="en-US" w:eastAsia="zh-CN"/>
              </w:rPr>
            </w:pPr>
          </w:p>
        </w:tc>
        <w:tc>
          <w:tcPr>
            <w:tcW w:w="960" w:type="dxa"/>
            <w:vMerge w:val="continue"/>
            <w:vAlign w:val="center"/>
          </w:tcPr>
          <w:p>
            <w:pPr>
              <w:numPr>
                <w:ilvl w:val="0"/>
                <w:numId w:val="0"/>
              </w:numPr>
              <w:ind w:firstLine="420" w:firstLineChars="200"/>
              <w:rPr>
                <w:rFonts w:hint="eastAsia"/>
                <w:szCs w:val="22"/>
                <w:lang w:val="en-US" w:eastAsia="zh-CN"/>
              </w:rPr>
            </w:pPr>
          </w:p>
        </w:tc>
        <w:tc>
          <w:tcPr>
            <w:tcW w:w="10376" w:type="dxa"/>
            <w:vAlign w:val="center"/>
          </w:tcPr>
          <w:p>
            <w:pPr>
              <w:numPr>
                <w:ilvl w:val="0"/>
                <w:numId w:val="0"/>
              </w:numPr>
              <w:rPr>
                <w:rFonts w:hint="eastAsia"/>
                <w:szCs w:val="22"/>
                <w:lang w:val="en-US" w:eastAsia="zh-CN"/>
              </w:rPr>
            </w:pPr>
            <w:r>
              <w:rPr>
                <w:rFonts w:hint="eastAsia"/>
                <w:szCs w:val="22"/>
                <w:lang w:val="en-US" w:eastAsia="zh-CN"/>
              </w:rPr>
              <w:t>审核员：王宁敏       审核时间：2021-09-09  13:00-17:00</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numPr>
                <w:ilvl w:val="0"/>
                <w:numId w:val="0"/>
              </w:numPr>
              <w:ind w:firstLine="420" w:firstLineChars="200"/>
              <w:rPr>
                <w:rFonts w:hint="eastAsia"/>
                <w:szCs w:val="22"/>
                <w:lang w:val="en-US" w:eastAsia="zh-CN"/>
              </w:rPr>
            </w:pPr>
          </w:p>
        </w:tc>
        <w:tc>
          <w:tcPr>
            <w:tcW w:w="960" w:type="dxa"/>
            <w:vMerge w:val="continue"/>
            <w:vAlign w:val="center"/>
          </w:tcPr>
          <w:p>
            <w:pPr>
              <w:numPr>
                <w:ilvl w:val="0"/>
                <w:numId w:val="0"/>
              </w:numPr>
              <w:ind w:firstLine="420" w:firstLineChars="200"/>
              <w:rPr>
                <w:rFonts w:hint="eastAsia"/>
                <w:szCs w:val="22"/>
                <w:lang w:val="en-US" w:eastAsia="zh-CN"/>
              </w:rPr>
            </w:pPr>
          </w:p>
        </w:tc>
        <w:tc>
          <w:tcPr>
            <w:tcW w:w="10376" w:type="dxa"/>
            <w:vAlign w:val="center"/>
          </w:tcPr>
          <w:p>
            <w:pPr>
              <w:numPr>
                <w:ilvl w:val="0"/>
                <w:numId w:val="0"/>
              </w:numPr>
              <w:rPr>
                <w:rFonts w:hint="eastAsia"/>
                <w:szCs w:val="22"/>
                <w:lang w:val="en-US" w:eastAsia="zh-CN"/>
              </w:rPr>
            </w:pPr>
            <w:r>
              <w:rPr>
                <w:rFonts w:hint="eastAsia"/>
                <w:szCs w:val="22"/>
                <w:lang w:val="en-US" w:eastAsia="zh-CN"/>
              </w:rPr>
              <w:t>审核条款：5.3 组织的岗位、职责和权限、6.2 目标、能源指及其实现的策划、7.2 能力、7.3 意识、7.4沟通交流、8.1 运行的策划和控制、10.1不符合与纠正措施。</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3" w:hRule="atLeast"/>
        </w:trPr>
        <w:tc>
          <w:tcPr>
            <w:tcW w:w="2160" w:type="dxa"/>
          </w:tcPr>
          <w:p>
            <w:pPr>
              <w:rPr>
                <w:rFonts w:hint="eastAsia"/>
              </w:rPr>
            </w:pPr>
            <w:r>
              <w:rPr>
                <w:rFonts w:hint="eastAsia"/>
              </w:rPr>
              <w:t>1.</w:t>
            </w:r>
            <w:r>
              <w:rPr>
                <w:rFonts w:hint="eastAsia"/>
                <w:lang w:val="en-US" w:eastAsia="zh-CN"/>
              </w:rPr>
              <w:t>能源</w:t>
            </w:r>
            <w:r>
              <w:rPr>
                <w:rFonts w:hint="eastAsia"/>
              </w:rPr>
              <w:t>职责、</w:t>
            </w:r>
            <w:r>
              <w:rPr>
                <w:rFonts w:hint="eastAsia"/>
                <w:lang w:val="en-US" w:eastAsia="zh-CN"/>
              </w:rPr>
              <w:t>能源</w:t>
            </w:r>
            <w:r>
              <w:rPr>
                <w:rFonts w:hint="eastAsia"/>
              </w:rPr>
              <w:t>管理目标及实现措施策划适宜性，履行职责和目标实现情况；</w:t>
            </w:r>
          </w:p>
          <w:p>
            <w:pPr>
              <w:pStyle w:val="2"/>
            </w:pPr>
          </w:p>
        </w:tc>
        <w:tc>
          <w:tcPr>
            <w:tcW w:w="960" w:type="dxa"/>
          </w:tcPr>
          <w:p>
            <w:r>
              <w:rPr>
                <w:rFonts w:hint="eastAsia" w:ascii="宋体" w:hAnsi="宋体" w:eastAsia="宋体" w:cs="Times New Roman"/>
                <w:sz w:val="21"/>
                <w:szCs w:val="21"/>
              </w:rPr>
              <w:t>5.3</w:t>
            </w:r>
            <w:r>
              <w:rPr>
                <w:rFonts w:hint="eastAsia" w:ascii="宋体" w:hAnsi="宋体" w:eastAsia="宋体" w:cs="Times New Roman"/>
                <w:sz w:val="21"/>
                <w:szCs w:val="21"/>
                <w:lang w:val="en-US" w:eastAsia="zh-CN"/>
              </w:rPr>
              <w:t>/</w:t>
            </w:r>
            <w:r>
              <w:rPr>
                <w:rFonts w:hint="eastAsia" w:ascii="宋体" w:hAnsi="宋体" w:eastAsia="宋体" w:cs="Times New Roman"/>
                <w:sz w:val="21"/>
                <w:szCs w:val="21"/>
              </w:rPr>
              <w:t>6.2</w:t>
            </w:r>
          </w:p>
        </w:tc>
        <w:tc>
          <w:tcPr>
            <w:tcW w:w="10376" w:type="dxa"/>
          </w:tcPr>
          <w:p>
            <w:pPr>
              <w:numPr>
                <w:ilvl w:val="0"/>
                <w:numId w:val="0"/>
              </w:numPr>
              <w:ind w:firstLine="420" w:firstLineChars="200"/>
              <w:rPr>
                <w:rFonts w:hint="eastAsia"/>
                <w:lang w:val="en-US" w:eastAsia="zh-CN"/>
              </w:rPr>
            </w:pPr>
            <w:r>
              <w:rPr>
                <w:rFonts w:hint="eastAsia"/>
                <w:lang w:val="en-US" w:eastAsia="zh-CN"/>
              </w:rPr>
              <w:t>1.人力资源部：领导：黄艳 ，共4人；《岗位及部门职责》：部门定位-为了实现公司的战略目标，依据集团人力资源管理原则，在副总经理/总经理助理的领导下，建立并完善人力资源管理体系建设，承担组织岗位、劳动人事、薪酬、绩效、招聘、培训发展、员工关系等工作，提供人力资源支撑和保障。</w:t>
            </w:r>
          </w:p>
          <w:p>
            <w:pPr>
              <w:pStyle w:val="2"/>
              <w:rPr>
                <w:rFonts w:hint="eastAsia"/>
                <w:lang w:val="en-US" w:eastAsia="zh-CN"/>
              </w:rPr>
            </w:pPr>
            <w:r>
              <w:rPr>
                <w:rFonts w:hint="eastAsia"/>
                <w:lang w:val="en-US" w:eastAsia="zh-CN"/>
              </w:rPr>
              <w:t>职责概述-人力资源战略和规划、组织岗位管理、招聘管理、员工培训与发展、绩效管理、薪酬福利管理、</w:t>
            </w:r>
          </w:p>
          <w:p>
            <w:pPr>
              <w:pStyle w:val="2"/>
              <w:ind w:left="0" w:leftChars="0" w:firstLine="0" w:firstLineChars="0"/>
              <w:rPr>
                <w:rFonts w:hint="eastAsia"/>
                <w:lang w:val="en-US" w:eastAsia="zh-CN"/>
              </w:rPr>
            </w:pPr>
            <w:r>
              <w:rPr>
                <w:rFonts w:hint="eastAsia"/>
                <w:lang w:val="en-US" w:eastAsia="zh-CN"/>
              </w:rPr>
              <w:t>员工关系管理、劳动人事管理、考勤管理、部门建设</w:t>
            </w:r>
          </w:p>
          <w:p>
            <w:pPr>
              <w:pStyle w:val="2"/>
              <w:ind w:left="0" w:leftChars="0" w:firstLine="420" w:firstLineChars="200"/>
              <w:rPr>
                <w:rFonts w:hint="eastAsia"/>
                <w:lang w:val="en-US" w:eastAsia="zh-CN"/>
              </w:rPr>
            </w:pPr>
            <w:r>
              <w:rPr>
                <w:rFonts w:hint="eastAsia"/>
                <w:lang w:val="en-US" w:eastAsia="zh-CN"/>
              </w:rPr>
              <w:t>2.提供人力资源部能源管理目标</w:t>
            </w:r>
          </w:p>
          <w:p>
            <w:pPr>
              <w:ind w:firstLine="420" w:firstLineChars="200"/>
              <w:rPr>
                <w:rFonts w:hint="eastAsia"/>
                <w:lang w:val="en-US" w:eastAsia="zh-CN"/>
              </w:rPr>
            </w:pPr>
            <w:r>
              <w:rPr>
                <w:rFonts w:hint="eastAsia"/>
                <w:lang w:val="en-US" w:eastAsia="zh-CN"/>
              </w:rPr>
              <w:t xml:space="preserve">    保证公司目标指标的完成，</w:t>
            </w:r>
          </w:p>
          <w:p>
            <w:pPr>
              <w:pStyle w:val="2"/>
              <w:rPr>
                <w:rFonts w:hint="eastAsia"/>
                <w:lang w:val="en-US" w:eastAsia="zh-CN"/>
              </w:rPr>
            </w:pPr>
            <w:r>
              <w:rPr>
                <w:rFonts w:hint="eastAsia"/>
                <w:lang w:val="en-US" w:eastAsia="zh-CN"/>
              </w:rPr>
              <w:t xml:space="preserve">    员工培训——培训计划完成率达到90%，评价方法：培训计划。</w:t>
            </w:r>
          </w:p>
          <w:p>
            <w:pPr>
              <w:pStyle w:val="2"/>
              <w:rPr>
                <w:rFonts w:hint="default"/>
                <w:lang w:val="en-US" w:eastAsia="zh-CN"/>
              </w:rPr>
            </w:pPr>
            <w:r>
              <w:rPr>
                <w:rFonts w:hint="eastAsia"/>
                <w:lang w:val="en-US" w:eastAsia="zh-CN"/>
              </w:rPr>
              <w:t xml:space="preserve">   查阅相关记录，全部完成。</w:t>
            </w:r>
          </w:p>
          <w:p>
            <w:pPr>
              <w:pStyle w:val="2"/>
              <w:numPr>
                <w:ilvl w:val="0"/>
                <w:numId w:val="0"/>
              </w:numPr>
              <w:ind w:leftChars="200"/>
              <w:rPr>
                <w:rFonts w:hint="eastAsia"/>
                <w:lang w:val="en-US" w:eastAsia="zh-CN"/>
              </w:rPr>
            </w:pPr>
            <w:r>
              <w:rPr>
                <w:rFonts w:hint="eastAsia"/>
                <w:lang w:val="en-US" w:eastAsia="zh-CN"/>
              </w:rPr>
              <w:t>3.查阅公司对各部门的考核，</w:t>
            </w:r>
          </w:p>
          <w:p>
            <w:pPr>
              <w:pStyle w:val="2"/>
              <w:numPr>
                <w:ilvl w:val="0"/>
                <w:numId w:val="0"/>
              </w:numPr>
              <w:ind w:firstLine="420"/>
              <w:rPr>
                <w:rFonts w:hint="eastAsia"/>
                <w:lang w:val="en-US" w:eastAsia="zh-CN"/>
              </w:rPr>
            </w:pPr>
            <w:r>
              <w:rPr>
                <w:rFonts w:hint="eastAsia"/>
                <w:lang w:val="en-US" w:eastAsia="zh-CN"/>
              </w:rPr>
              <w:t>抽查1、《考评通报2020-10总第235期（2020年12月）》，2020年12月份公司绩效考核通报，各部门考核得分：</w:t>
            </w:r>
          </w:p>
          <w:tbl>
            <w:tblPr>
              <w:tblStyle w:val="8"/>
              <w:tblW w:w="7358" w:type="dxa"/>
              <w:tblInd w:w="817" w:type="dxa"/>
              <w:tblLayout w:type="fixed"/>
              <w:tblCellMar>
                <w:top w:w="0" w:type="dxa"/>
                <w:left w:w="108" w:type="dxa"/>
                <w:bottom w:w="0" w:type="dxa"/>
                <w:right w:w="108" w:type="dxa"/>
              </w:tblCellMar>
            </w:tblPr>
            <w:tblGrid>
              <w:gridCol w:w="1908"/>
              <w:gridCol w:w="1521"/>
              <w:gridCol w:w="2725"/>
              <w:gridCol w:w="1204"/>
            </w:tblGrid>
            <w:tr>
              <w:tblPrEx>
                <w:tblCellMar>
                  <w:top w:w="0" w:type="dxa"/>
                  <w:left w:w="108" w:type="dxa"/>
                  <w:bottom w:w="0" w:type="dxa"/>
                  <w:right w:w="108" w:type="dxa"/>
                </w:tblCellMar>
              </w:tblPrEx>
              <w:trPr>
                <w:trHeight w:val="90" w:hRule="atLeast"/>
              </w:trPr>
              <w:tc>
                <w:tcPr>
                  <w:tcW w:w="1908"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cs="宋体" w:asciiTheme="minorEastAsia" w:hAnsiTheme="minorEastAsia" w:eastAsiaTheme="minorEastAsia"/>
                      <w:b/>
                      <w:color w:val="000000"/>
                      <w:kern w:val="0"/>
                      <w:sz w:val="21"/>
                      <w:szCs w:val="21"/>
                    </w:rPr>
                  </w:pPr>
                  <w:r>
                    <w:rPr>
                      <w:rFonts w:hint="eastAsia" w:ascii="黑体" w:hAnsi="宋体" w:eastAsia="黑体" w:cs="黑体"/>
                      <w:i w:val="0"/>
                      <w:color w:val="000000"/>
                      <w:kern w:val="0"/>
                      <w:sz w:val="21"/>
                      <w:szCs w:val="21"/>
                      <w:u w:val="none"/>
                      <w:lang w:val="en-US" w:eastAsia="zh-CN" w:bidi="ar"/>
                    </w:rPr>
                    <w:t>部门名称</w:t>
                  </w:r>
                </w:p>
              </w:tc>
              <w:tc>
                <w:tcPr>
                  <w:tcW w:w="1521" w:type="dxa"/>
                  <w:tcBorders>
                    <w:top w:val="single" w:color="auto" w:sz="4" w:space="0"/>
                    <w:left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cs="宋体" w:asciiTheme="minorEastAsia" w:hAnsiTheme="minorEastAsia" w:eastAsiaTheme="minorEastAsia"/>
                      <w:b/>
                      <w:color w:val="000000"/>
                      <w:kern w:val="0"/>
                      <w:sz w:val="21"/>
                      <w:szCs w:val="21"/>
                    </w:rPr>
                  </w:pPr>
                  <w:r>
                    <w:rPr>
                      <w:rFonts w:hint="eastAsia" w:ascii="黑体" w:hAnsi="宋体" w:eastAsia="黑体" w:cs="黑体"/>
                      <w:i w:val="0"/>
                      <w:color w:val="000000"/>
                      <w:kern w:val="0"/>
                      <w:sz w:val="21"/>
                      <w:szCs w:val="21"/>
                      <w:u w:val="none"/>
                      <w:lang w:val="en-US" w:eastAsia="zh-CN" w:bidi="ar"/>
                    </w:rPr>
                    <w:t>得分</w:t>
                  </w:r>
                </w:p>
              </w:tc>
              <w:tc>
                <w:tcPr>
                  <w:tcW w:w="2725" w:type="dxa"/>
                  <w:tcBorders>
                    <w:top w:val="single" w:color="auto" w:sz="4" w:space="0"/>
                    <w:left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cs="宋体" w:asciiTheme="minorEastAsia" w:hAnsiTheme="minorEastAsia" w:eastAsiaTheme="minorEastAsia"/>
                      <w:b/>
                      <w:color w:val="000000"/>
                      <w:kern w:val="0"/>
                      <w:sz w:val="21"/>
                      <w:szCs w:val="21"/>
                    </w:rPr>
                  </w:pPr>
                  <w:r>
                    <w:rPr>
                      <w:rFonts w:hint="eastAsia" w:ascii="黑体" w:hAnsi="宋体" w:eastAsia="黑体" w:cs="黑体"/>
                      <w:i w:val="0"/>
                      <w:color w:val="000000"/>
                      <w:kern w:val="0"/>
                      <w:sz w:val="21"/>
                      <w:szCs w:val="21"/>
                      <w:u w:val="none"/>
                      <w:lang w:val="en-US" w:eastAsia="zh-CN" w:bidi="ar"/>
                    </w:rPr>
                    <w:t>部门名称</w:t>
                  </w:r>
                </w:p>
              </w:tc>
              <w:tc>
                <w:tcPr>
                  <w:tcW w:w="1204" w:type="dxa"/>
                  <w:tcBorders>
                    <w:top w:val="single" w:color="auto" w:sz="4" w:space="0"/>
                    <w:left w:val="nil"/>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cs="宋体" w:asciiTheme="minorEastAsia" w:hAnsiTheme="minorEastAsia" w:eastAsiaTheme="minorEastAsia"/>
                      <w:b/>
                      <w:color w:val="000000"/>
                      <w:kern w:val="0"/>
                      <w:sz w:val="21"/>
                      <w:szCs w:val="21"/>
                    </w:rPr>
                  </w:pPr>
                  <w:r>
                    <w:rPr>
                      <w:rFonts w:hint="eastAsia" w:ascii="黑体" w:hAnsi="宋体" w:eastAsia="黑体" w:cs="黑体"/>
                      <w:i w:val="0"/>
                      <w:color w:val="000000"/>
                      <w:kern w:val="0"/>
                      <w:sz w:val="21"/>
                      <w:szCs w:val="21"/>
                      <w:u w:val="none"/>
                      <w:lang w:val="en-US" w:eastAsia="zh-CN" w:bidi="ar"/>
                    </w:rPr>
                    <w:t>得分</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钼粉制造部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99.28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质量管理部</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116.77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丝材部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105.11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加工中心组</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 xml:space="preserve">100.00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钼粉经营部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114.40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热沉项目组</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i w:val="0"/>
                      <w:color w:val="000000"/>
                      <w:kern w:val="0"/>
                      <w:sz w:val="21"/>
                      <w:szCs w:val="21"/>
                      <w:u w:val="none"/>
                      <w:lang w:val="en-US" w:eastAsia="zh-CN" w:bidi="ar"/>
                    </w:rPr>
                    <w:t xml:space="preserve">100.00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制品制造部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114.74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安全环保部</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109.00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制品经营部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134.23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企业管理部</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110.00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军品生产部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156.36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运营管理部</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126.80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技术中心</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228.60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财务部</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116.01 </w:t>
                  </w:r>
                </w:p>
              </w:tc>
            </w:tr>
            <w:tr>
              <w:tblPrEx>
                <w:tblCellMar>
                  <w:top w:w="0" w:type="dxa"/>
                  <w:left w:w="108" w:type="dxa"/>
                  <w:bottom w:w="0" w:type="dxa"/>
                  <w:right w:w="108" w:type="dxa"/>
                </w:tblCellMar>
              </w:tblPrEx>
              <w:trPr>
                <w:trHeight w:val="90" w:hRule="atLeast"/>
              </w:trPr>
              <w:tc>
                <w:tcPr>
                  <w:tcW w:w="190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军品销售部</w:t>
                  </w:r>
                </w:p>
              </w:tc>
              <w:tc>
                <w:tcPr>
                  <w:tcW w:w="152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274.79 </w:t>
                  </w:r>
                </w:p>
              </w:tc>
              <w:tc>
                <w:tcPr>
                  <w:tcW w:w="27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人力资源部</w:t>
                  </w:r>
                </w:p>
              </w:tc>
              <w:tc>
                <w:tcPr>
                  <w:tcW w:w="12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107.00 </w:t>
                  </w:r>
                </w:p>
              </w:tc>
            </w:tr>
            <w:tr>
              <w:tblPrEx>
                <w:tblCellMar>
                  <w:top w:w="0" w:type="dxa"/>
                  <w:left w:w="108" w:type="dxa"/>
                  <w:bottom w:w="0" w:type="dxa"/>
                  <w:right w:w="108" w:type="dxa"/>
                </w:tblCellMar>
              </w:tblPrEx>
              <w:trPr>
                <w:trHeight w:val="150" w:hRule="atLeast"/>
              </w:trPr>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设备动力部</w:t>
                  </w:r>
                </w:p>
              </w:tc>
              <w:tc>
                <w:tcPr>
                  <w:tcW w:w="15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color w:val="000000"/>
                      <w:kern w:val="0"/>
                      <w:sz w:val="21"/>
                      <w:szCs w:val="21"/>
                      <w:u w:val="none"/>
                      <w:lang w:val="en-US" w:eastAsia="zh-CN" w:bidi="ar"/>
                    </w:rPr>
                    <w:t xml:space="preserve">109.97 </w:t>
                  </w:r>
                </w:p>
              </w:tc>
              <w:tc>
                <w:tcPr>
                  <w:tcW w:w="27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color w:val="000000"/>
                      <w:sz w:val="21"/>
                      <w:szCs w:val="21"/>
                    </w:rPr>
                  </w:pPr>
                  <w:r>
                    <w:rPr>
                      <w:rFonts w:hint="eastAsia" w:ascii="宋体" w:hAnsi="宋体" w:eastAsia="宋体" w:cs="宋体"/>
                      <w:i w:val="0"/>
                      <w:color w:val="000000"/>
                      <w:kern w:val="0"/>
                      <w:sz w:val="21"/>
                      <w:szCs w:val="21"/>
                      <w:u w:val="none"/>
                      <w:lang w:val="en-US" w:eastAsia="zh-CN" w:bidi="ar"/>
                    </w:rPr>
                    <w:t>党工/工会/纪检/离退部</w:t>
                  </w:r>
                </w:p>
              </w:tc>
              <w:tc>
                <w:tcPr>
                  <w:tcW w:w="12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color w:val="000000"/>
                      <w:sz w:val="21"/>
                      <w:szCs w:val="21"/>
                    </w:rPr>
                  </w:pPr>
                  <w:r>
                    <w:rPr>
                      <w:rFonts w:hint="eastAsia" w:ascii="宋体" w:hAnsi="宋体" w:eastAsia="宋体" w:cs="宋体"/>
                      <w:i w:val="0"/>
                      <w:color w:val="000000"/>
                      <w:kern w:val="0"/>
                      <w:sz w:val="21"/>
                      <w:szCs w:val="21"/>
                      <w:u w:val="none"/>
                      <w:lang w:val="en-US" w:eastAsia="zh-CN" w:bidi="ar"/>
                    </w:rPr>
                    <w:t xml:space="preserve">107.75 </w:t>
                  </w:r>
                </w:p>
              </w:tc>
            </w:tr>
          </w:tbl>
          <w:p>
            <w:pPr>
              <w:jc w:val="both"/>
              <w:rPr>
                <w:rFonts w:hint="eastAsia"/>
                <w:lang w:val="en-US" w:eastAsia="zh-CN"/>
              </w:rPr>
            </w:pPr>
          </w:p>
          <w:p>
            <w:pPr>
              <w:rPr>
                <w:rFonts w:hint="eastAsia"/>
                <w:lang w:val="en-US" w:eastAsia="zh-CN"/>
              </w:rPr>
            </w:pPr>
            <w:r>
              <w:rPr>
                <w:rFonts w:hint="eastAsia"/>
                <w:lang w:val="en-US" w:eastAsia="zh-CN"/>
              </w:rPr>
              <w:t xml:space="preserve">    抽查2、《考评通报2021-6总第241期（2021年7月）》，2021年7月份公司绩效考核通报，各部门考核得分：</w:t>
            </w:r>
          </w:p>
          <w:tbl>
            <w:tblPr>
              <w:tblStyle w:val="8"/>
              <w:tblW w:w="6502" w:type="dxa"/>
              <w:jc w:val="center"/>
              <w:tblLayout w:type="fixed"/>
              <w:tblCellMar>
                <w:top w:w="0" w:type="dxa"/>
                <w:left w:w="0" w:type="dxa"/>
                <w:bottom w:w="0" w:type="dxa"/>
                <w:right w:w="0" w:type="dxa"/>
              </w:tblCellMar>
            </w:tblPr>
            <w:tblGrid>
              <w:gridCol w:w="1600"/>
              <w:gridCol w:w="1480"/>
              <w:gridCol w:w="2342"/>
              <w:gridCol w:w="1080"/>
            </w:tblGrid>
            <w:tr>
              <w:tblPrEx>
                <w:tblCellMar>
                  <w:top w:w="0" w:type="dxa"/>
                  <w:left w:w="0" w:type="dxa"/>
                  <w:bottom w:w="0" w:type="dxa"/>
                  <w:right w:w="0" w:type="dxa"/>
                </w:tblCellMar>
              </w:tblPrEx>
              <w:trPr>
                <w:trHeight w:val="300" w:hRule="atLeast"/>
                <w:jc w:val="center"/>
              </w:trPr>
              <w:tc>
                <w:tcPr>
                  <w:tcW w:w="1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部门名称</w:t>
                  </w:r>
                </w:p>
              </w:tc>
              <w:tc>
                <w:tcPr>
                  <w:tcW w:w="148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得分</w:t>
                  </w:r>
                </w:p>
              </w:tc>
              <w:tc>
                <w:tcPr>
                  <w:tcW w:w="234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部门名称</w:t>
                  </w:r>
                </w:p>
              </w:tc>
              <w:tc>
                <w:tcPr>
                  <w:tcW w:w="108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得分</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钼粉制造部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98.54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加工中心组</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100.00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丝材部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118.7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热沉项目组</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100.00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钼粉经营部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92.72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精益办</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100.00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制品制造部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104.41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安全环保部</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114</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制品经营部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104.22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企业管理部</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108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军品生产部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107.29</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运营管理部</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109.00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技术中心</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98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财务部</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100.65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军品销售部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100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人力资源部</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112</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设备动力部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107.34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党工/工会/纪检/离退部</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109.75 </w:t>
                  </w:r>
                </w:p>
              </w:tc>
            </w:tr>
            <w:tr>
              <w:tblPrEx>
                <w:tblCellMar>
                  <w:top w:w="0" w:type="dxa"/>
                  <w:left w:w="0" w:type="dxa"/>
                  <w:bottom w:w="0" w:type="dxa"/>
                  <w:right w:w="0" w:type="dxa"/>
                </w:tblCellMar>
              </w:tblPrEx>
              <w:trPr>
                <w:trHeight w:val="300" w:hRule="atLeast"/>
                <w:jc w:val="center"/>
              </w:trPr>
              <w:tc>
                <w:tcPr>
                  <w:tcW w:w="16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质量管理部</w:t>
                  </w:r>
                </w:p>
              </w:tc>
              <w:tc>
                <w:tcPr>
                  <w:tcW w:w="1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xml:space="preserve">118.25 </w:t>
                  </w:r>
                </w:p>
              </w:tc>
              <w:tc>
                <w:tcPr>
                  <w:tcW w:w="23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w:t>
                  </w:r>
                </w:p>
              </w:tc>
              <w:tc>
                <w:tcPr>
                  <w:tcW w:w="10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1"/>
                      <w:szCs w:val="21"/>
                    </w:rPr>
                  </w:pPr>
                  <w:r>
                    <w:rPr>
                      <w:rFonts w:hint="eastAsia" w:ascii="宋体" w:hAnsi="宋体" w:cs="宋体"/>
                      <w:color w:val="000000" w:themeColor="text1"/>
                      <w:kern w:val="0"/>
                      <w:sz w:val="21"/>
                      <w:szCs w:val="21"/>
                    </w:rPr>
                    <w:t>　</w:t>
                  </w:r>
                </w:p>
              </w:tc>
            </w:tr>
          </w:tbl>
          <w:p>
            <w:pPr>
              <w:pStyle w:val="2"/>
              <w:jc w:val="center"/>
              <w:rPr>
                <w:rFonts w:hint="default"/>
                <w:lang w:val="en-US" w:eastAsia="zh-CN"/>
              </w:rPr>
            </w:pPr>
          </w:p>
          <w:p>
            <w:pPr>
              <w:rPr>
                <w:rFonts w:hint="default"/>
                <w:lang w:val="en-US" w:eastAsia="zh-CN"/>
              </w:rPr>
            </w:pPr>
          </w:p>
          <w:p>
            <w:pPr>
              <w:ind w:firstLine="420"/>
              <w:rPr>
                <w:rFonts w:hint="default"/>
                <w:lang w:val="en-US" w:eastAsia="zh-CN"/>
              </w:rPr>
            </w:pPr>
          </w:p>
        </w:tc>
        <w:tc>
          <w:tcPr>
            <w:tcW w:w="1213" w:type="dxa"/>
          </w:tcPr>
          <w:p/>
          <w:p>
            <w:pPr>
              <w:pStyle w:val="2"/>
            </w:pPr>
          </w:p>
          <w:p/>
          <w:p>
            <w:pPr>
              <w:pStyle w:val="2"/>
            </w:pPr>
          </w:p>
          <w:p/>
          <w:p>
            <w:pPr>
              <w:pStyle w:val="2"/>
            </w:pPr>
          </w:p>
          <w:p/>
          <w:p>
            <w:pPr>
              <w:pStyle w:val="2"/>
            </w:pPr>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宋体" w:hAnsi="宋体" w:eastAsia="宋体" w:cs="Times New Roman"/>
                <w:sz w:val="21"/>
                <w:szCs w:val="21"/>
              </w:rPr>
              <w:t>2.</w:t>
            </w:r>
            <w:r>
              <w:rPr>
                <w:rFonts w:hint="eastAsia" w:ascii="宋体" w:hAnsi="宋体" w:eastAsia="宋体" w:cs="Times New Roman"/>
                <w:sz w:val="21"/>
                <w:szCs w:val="21"/>
                <w:lang w:val="en-US" w:eastAsia="zh-CN"/>
              </w:rPr>
              <w:t>查员工</w:t>
            </w:r>
            <w:r>
              <w:rPr>
                <w:rFonts w:hint="eastAsia" w:ascii="宋体" w:hAnsi="宋体" w:eastAsia="宋体" w:cs="Times New Roman"/>
                <w:sz w:val="21"/>
                <w:szCs w:val="21"/>
              </w:rPr>
              <w:t>的能力、意识及培训策划与实施</w:t>
            </w:r>
            <w:r>
              <w:rPr>
                <w:rFonts w:hint="eastAsia" w:ascii="宋体" w:hAnsi="宋体" w:eastAsia="宋体" w:cs="Times New Roman"/>
                <w:sz w:val="21"/>
                <w:szCs w:val="21"/>
                <w:lang w:val="en-US" w:eastAsia="zh-CN"/>
              </w:rPr>
              <w:t>效果</w:t>
            </w:r>
            <w:r>
              <w:rPr>
                <w:rFonts w:hint="eastAsia" w:ascii="宋体" w:hAnsi="宋体" w:cs="Times New Roman"/>
                <w:sz w:val="21"/>
                <w:szCs w:val="21"/>
                <w:lang w:val="en-US" w:eastAsia="zh-CN"/>
              </w:rPr>
              <w:t>，沟通</w:t>
            </w:r>
            <w:r>
              <w:rPr>
                <w:rFonts w:hint="eastAsia" w:ascii="宋体" w:hAnsi="宋体" w:eastAsia="宋体" w:cs="Times New Roman"/>
                <w:sz w:val="21"/>
                <w:szCs w:val="21"/>
                <w:lang w:eastAsia="zh-CN"/>
              </w:rPr>
              <w:t>；</w:t>
            </w:r>
          </w:p>
        </w:tc>
        <w:tc>
          <w:tcPr>
            <w:tcW w:w="960" w:type="dxa"/>
          </w:tcPr>
          <w:p>
            <w:pPr>
              <w:rPr>
                <w:rFonts w:hint="eastAsia"/>
              </w:rPr>
            </w:pPr>
            <w:r>
              <w:rPr>
                <w:rFonts w:hint="eastAsia"/>
              </w:rPr>
              <w:t>7.2</w:t>
            </w:r>
            <w:r>
              <w:rPr>
                <w:rFonts w:hint="eastAsia"/>
                <w:lang w:val="en-US" w:eastAsia="zh-CN"/>
              </w:rPr>
              <w:t>/</w:t>
            </w:r>
            <w:r>
              <w:rPr>
                <w:rFonts w:hint="eastAsia"/>
              </w:rPr>
              <w:t>7.3</w:t>
            </w:r>
          </w:p>
          <w:p>
            <w:pPr>
              <w:pStyle w:val="2"/>
              <w:ind w:left="0" w:leftChars="0" w:firstLine="0" w:firstLineChars="0"/>
              <w:rPr>
                <w:rFonts w:hint="default" w:eastAsia="宋体"/>
                <w:lang w:val="en-US" w:eastAsia="zh-CN"/>
              </w:rPr>
            </w:pPr>
            <w:r>
              <w:rPr>
                <w:rFonts w:hint="eastAsia" w:ascii="宋体" w:hAnsi="宋体" w:cs="Times New Roman"/>
                <w:sz w:val="21"/>
                <w:szCs w:val="21"/>
                <w:lang w:val="en-US" w:eastAsia="zh-CN"/>
              </w:rPr>
              <w:t>7</w:t>
            </w:r>
            <w:r>
              <w:rPr>
                <w:rFonts w:hint="eastAsia"/>
              </w:rPr>
              <w:t>.</w:t>
            </w:r>
            <w:r>
              <w:rPr>
                <w:rFonts w:hint="eastAsia" w:ascii="宋体" w:hAnsi="宋体" w:cs="Times New Roman"/>
                <w:sz w:val="21"/>
                <w:szCs w:val="21"/>
                <w:lang w:val="en-US" w:eastAsia="zh-CN"/>
              </w:rPr>
              <w:t>4</w:t>
            </w:r>
          </w:p>
        </w:tc>
        <w:tc>
          <w:tcPr>
            <w:tcW w:w="10376" w:type="dxa"/>
          </w:tcPr>
          <w:p>
            <w:pPr>
              <w:numPr>
                <w:ilvl w:val="0"/>
                <w:numId w:val="1"/>
              </w:numPr>
              <w:ind w:firstLine="420"/>
              <w:rPr>
                <w:rFonts w:hint="eastAsia"/>
                <w:lang w:val="en-US" w:eastAsia="zh-CN"/>
              </w:rPr>
            </w:pPr>
            <w:r>
              <w:rPr>
                <w:rFonts w:hint="eastAsia"/>
                <w:lang w:val="en-US" w:eastAsia="zh-CN"/>
              </w:rPr>
              <w:t>查阅文件</w:t>
            </w:r>
          </w:p>
          <w:p>
            <w:pPr>
              <w:numPr>
                <w:ilvl w:val="0"/>
                <w:numId w:val="0"/>
              </w:numPr>
              <w:ind w:firstLine="420" w:firstLineChars="200"/>
              <w:rPr>
                <w:rFonts w:hint="eastAsia"/>
              </w:rPr>
            </w:pPr>
            <w:r>
              <w:rPr>
                <w:rFonts w:hint="eastAsia"/>
              </w:rPr>
              <w:t>策划编制有</w:t>
            </w:r>
            <w:r>
              <w:rPr>
                <w:rFonts w:hint="eastAsia"/>
                <w:lang w:eastAsia="zh-CN"/>
              </w:rPr>
              <w:t>《人力资源管理控制程序》</w:t>
            </w:r>
            <w:r>
              <w:rPr>
                <w:rFonts w:hint="eastAsia" w:ascii="宋体" w:hAnsi="宋体" w:cs="Times New Roman"/>
                <w:sz w:val="21"/>
                <w:szCs w:val="21"/>
                <w:lang w:eastAsia="zh-CN"/>
              </w:rPr>
              <w:t>《</w:t>
            </w:r>
            <w:r>
              <w:rPr>
                <w:rFonts w:hint="eastAsia" w:ascii="宋体" w:hAnsi="宋体" w:eastAsia="宋体" w:cs="Times New Roman"/>
                <w:sz w:val="21"/>
                <w:szCs w:val="21"/>
                <w:lang w:val="en-US" w:eastAsia="zh-CN"/>
              </w:rPr>
              <w:t>能力、意识和培训控制程序</w:t>
            </w:r>
            <w:r>
              <w:rPr>
                <w:rFonts w:hint="eastAsia" w:ascii="宋体" w:hAnsi="宋体" w:cs="Times New Roman"/>
                <w:sz w:val="21"/>
                <w:szCs w:val="21"/>
                <w:lang w:eastAsia="zh-CN"/>
              </w:rPr>
              <w:t>》</w:t>
            </w:r>
            <w:r>
              <w:rPr>
                <w:rFonts w:hint="eastAsia"/>
                <w:lang w:eastAsia="zh-CN"/>
              </w:rPr>
              <w:t>《服务管理控制程序》《虹波公司军工产品作业人员资格认定办法》《员工培训管理制度》等，有发布，实施。有编审批。确保了其适宜性和充分性。。</w:t>
            </w:r>
            <w:r>
              <w:rPr>
                <w:rFonts w:hint="eastAsia"/>
                <w:lang w:val="en-US" w:eastAsia="zh-CN"/>
              </w:rPr>
              <w:t>并且在《能源手册》7.2、7.3、7.4条款中</w:t>
            </w:r>
            <w:r>
              <w:rPr>
                <w:rFonts w:hint="eastAsia"/>
              </w:rPr>
              <w:t>内容规定了人力资源部应组织确定与能源绩效和能源管理体系具有影响的人员必备的基本能力要求。</w:t>
            </w:r>
          </w:p>
          <w:p>
            <w:pPr>
              <w:ind w:firstLine="420"/>
              <w:rPr>
                <w:rFonts w:hint="default"/>
                <w:lang w:val="en-US" w:eastAsia="zh-CN"/>
              </w:rPr>
            </w:pPr>
            <w:r>
              <w:rPr>
                <w:rFonts w:hint="eastAsia"/>
                <w:lang w:val="en-US" w:eastAsia="zh-CN"/>
              </w:rPr>
              <w:t>在能力、培训方面：</w:t>
            </w:r>
          </w:p>
          <w:p>
            <w:pPr>
              <w:ind w:firstLine="420"/>
              <w:rPr>
                <w:rFonts w:hint="eastAsia"/>
                <w:lang w:val="en-US" w:eastAsia="zh-CN"/>
              </w:rPr>
            </w:pPr>
            <w:r>
              <w:rPr>
                <w:rFonts w:hint="eastAsia"/>
                <w:lang w:val="en-US" w:eastAsia="zh-CN"/>
              </w:rPr>
              <w:t xml:space="preserve">a) 本公司制定《人力资源管理程序》并编制《岗位职责说明书》，确定在本公司控制下对所从事工作影响以及质量、环境管理体系绩效和有效性确认，对履行合规义务能力及有影响的人员所需能力进行确认； </w:t>
            </w:r>
          </w:p>
          <w:p>
            <w:pPr>
              <w:ind w:firstLine="420"/>
              <w:rPr>
                <w:rFonts w:hint="eastAsia"/>
                <w:lang w:val="en-US" w:eastAsia="zh-CN"/>
              </w:rPr>
            </w:pPr>
            <w:r>
              <w:rPr>
                <w:rFonts w:hint="eastAsia"/>
                <w:lang w:val="en-US" w:eastAsia="zh-CN"/>
              </w:rPr>
              <w:t xml:space="preserve">b) 基于适当的教育、培训或经历，确保这些人员能胜任岗位工作； </w:t>
            </w:r>
          </w:p>
          <w:p>
            <w:pPr>
              <w:ind w:firstLine="420"/>
              <w:rPr>
                <w:rFonts w:hint="eastAsia"/>
                <w:lang w:val="en-US" w:eastAsia="zh-CN"/>
              </w:rPr>
            </w:pPr>
            <w:r>
              <w:rPr>
                <w:rFonts w:hint="eastAsia"/>
                <w:lang w:val="en-US" w:eastAsia="zh-CN"/>
              </w:rPr>
              <w:t xml:space="preserve">c) 必要时，提供对再职人员进行培训、辅导，或重新分配工作，或者聘用、外包胜任的人员等方式获得岗位所需的能力； </w:t>
            </w:r>
          </w:p>
          <w:p>
            <w:pPr>
              <w:ind w:firstLine="420"/>
              <w:rPr>
                <w:rFonts w:hint="eastAsia"/>
                <w:lang w:val="en-US" w:eastAsia="zh-CN"/>
              </w:rPr>
            </w:pPr>
            <w:r>
              <w:rPr>
                <w:rFonts w:hint="eastAsia"/>
                <w:lang w:val="en-US" w:eastAsia="zh-CN"/>
              </w:rPr>
              <w:t>d) 当采取上述措施时，应对措施的有效性进行评价。</w:t>
            </w:r>
          </w:p>
          <w:p>
            <w:pPr>
              <w:ind w:firstLine="420"/>
              <w:rPr>
                <w:rFonts w:hint="eastAsia"/>
                <w:lang w:val="en-US" w:eastAsia="zh-CN"/>
              </w:rPr>
            </w:pPr>
            <w:r>
              <w:rPr>
                <w:rFonts w:hint="eastAsia"/>
                <w:lang w:val="en-US" w:eastAsia="zh-CN"/>
              </w:rPr>
              <w:t>培训(实习)有效性评价方法：可通过理论考试、实际操作考核、问卷调查、业绩测评和观察等方法评价培训效果，以评价员工是否具备上岗所需的能力。</w:t>
            </w:r>
          </w:p>
          <w:p>
            <w:pPr>
              <w:ind w:firstLine="420"/>
              <w:rPr>
                <w:rFonts w:hint="eastAsia"/>
                <w:lang w:val="en-US" w:eastAsia="zh-CN"/>
              </w:rPr>
            </w:pPr>
            <w:r>
              <w:rPr>
                <w:rFonts w:hint="eastAsia"/>
                <w:lang w:val="en-US" w:eastAsia="zh-CN"/>
              </w:rPr>
              <w:t>采用内部转岗、提拔或外部招聘、外包胜任人员等措施的有效性评价方法：通过试用期考核评价被转岗、提拔、招聘、外包人员的岗位能力。</w:t>
            </w:r>
          </w:p>
          <w:p>
            <w:pPr>
              <w:ind w:firstLine="420"/>
              <w:rPr>
                <w:rFonts w:hint="eastAsia"/>
              </w:rPr>
            </w:pPr>
            <w:r>
              <w:rPr>
                <w:rFonts w:hint="eastAsia"/>
                <w:lang w:val="en-US" w:eastAsia="zh-CN"/>
              </w:rPr>
              <w:t>e) 综合部负责保留有关教育、培训和经历的记录证据。</w:t>
            </w:r>
            <w:r>
              <w:rPr>
                <w:rFonts w:hint="eastAsia"/>
              </w:rPr>
              <w:t xml:space="preserve"> </w:t>
            </w:r>
          </w:p>
          <w:p>
            <w:pPr>
              <w:ind w:firstLine="420"/>
              <w:rPr>
                <w:rFonts w:hint="eastAsia"/>
                <w:lang w:val="en-US" w:eastAsia="zh-CN"/>
              </w:rPr>
            </w:pPr>
            <w:r>
              <w:rPr>
                <w:rFonts w:hint="eastAsia"/>
                <w:lang w:val="en-US" w:eastAsia="zh-CN"/>
              </w:rPr>
              <w:t>在</w:t>
            </w:r>
            <w:r>
              <w:rPr>
                <w:rFonts w:hint="eastAsia"/>
              </w:rPr>
              <w:t>意识</w:t>
            </w:r>
            <w:r>
              <w:rPr>
                <w:rFonts w:hint="eastAsia"/>
                <w:lang w:val="en-US" w:eastAsia="zh-CN"/>
              </w:rPr>
              <w:t>方面：</w:t>
            </w:r>
          </w:p>
          <w:p>
            <w:pPr>
              <w:ind w:firstLine="420"/>
              <w:rPr>
                <w:rFonts w:hint="eastAsia"/>
              </w:rPr>
            </w:pPr>
            <w:r>
              <w:rPr>
                <w:rFonts w:hint="eastAsia"/>
              </w:rPr>
              <w:t>公司制定《人力资源控制程序》，在公司控制下从事工作的人员应知道:</w:t>
            </w:r>
          </w:p>
          <w:p>
            <w:pPr>
              <w:ind w:firstLine="420"/>
              <w:rPr>
                <w:rFonts w:hint="eastAsia" w:eastAsia="宋体"/>
                <w:lang w:eastAsia="zh-CN"/>
              </w:rPr>
            </w:pPr>
            <w:r>
              <w:rPr>
                <w:rFonts w:hint="eastAsia"/>
                <w:lang w:val="en-US" w:eastAsia="zh-CN"/>
              </w:rPr>
              <w:t>a)</w:t>
            </w:r>
            <w:r>
              <w:rPr>
                <w:rFonts w:hint="eastAsia"/>
              </w:rPr>
              <w:t>能源政策</w:t>
            </w:r>
            <w:r>
              <w:rPr>
                <w:rFonts w:hint="eastAsia"/>
                <w:lang w:eastAsia="zh-CN"/>
              </w:rPr>
              <w:t>；</w:t>
            </w:r>
          </w:p>
          <w:p>
            <w:pPr>
              <w:ind w:firstLine="420"/>
              <w:rPr>
                <w:rFonts w:hint="eastAsia" w:eastAsia="宋体"/>
                <w:lang w:eastAsia="zh-CN"/>
              </w:rPr>
            </w:pPr>
            <w:r>
              <w:rPr>
                <w:rFonts w:hint="eastAsia"/>
              </w:rPr>
              <w:t>b)他们的贡献运用的有效性,包括实现目标和能源目标</w:t>
            </w:r>
            <w:r>
              <w:rPr>
                <w:rFonts w:hint="eastAsia"/>
                <w:lang w:eastAsia="zh-CN"/>
              </w:rPr>
              <w:t>，</w:t>
            </w:r>
            <w:r>
              <w:rPr>
                <w:rFonts w:hint="eastAsia"/>
              </w:rPr>
              <w:t>和提高能效的好处</w:t>
            </w:r>
            <w:r>
              <w:rPr>
                <w:rFonts w:hint="eastAsia"/>
                <w:lang w:eastAsia="zh-CN"/>
              </w:rPr>
              <w:t>；</w:t>
            </w:r>
          </w:p>
          <w:p>
            <w:pPr>
              <w:ind w:firstLine="420"/>
              <w:rPr>
                <w:rFonts w:hint="eastAsia"/>
                <w:lang w:eastAsia="zh-CN"/>
              </w:rPr>
            </w:pPr>
            <w:r>
              <w:rPr>
                <w:rFonts w:hint="eastAsia"/>
              </w:rPr>
              <w:t>c)其活动或行为对能源表现的影响</w:t>
            </w:r>
            <w:r>
              <w:rPr>
                <w:rFonts w:hint="eastAsia"/>
                <w:lang w:eastAsia="zh-CN"/>
              </w:rPr>
              <w:t>；</w:t>
            </w:r>
          </w:p>
          <w:p>
            <w:pPr>
              <w:ind w:firstLine="420"/>
              <w:rPr>
                <w:rFonts w:hint="eastAsia"/>
              </w:rPr>
            </w:pPr>
            <w:r>
              <w:rPr>
                <w:rFonts w:hint="eastAsia"/>
              </w:rPr>
              <w:t>d)不符合能源管理体系要求的含义。</w:t>
            </w:r>
          </w:p>
          <w:p>
            <w:pPr>
              <w:ind w:firstLine="420" w:firstLineChars="200"/>
              <w:rPr>
                <w:rFonts w:hint="eastAsia"/>
                <w:lang w:val="en-US" w:eastAsia="zh-CN"/>
              </w:rPr>
            </w:pPr>
            <w:r>
              <w:rPr>
                <w:rFonts w:hint="eastAsia"/>
                <w:lang w:val="en-US" w:eastAsia="zh-CN"/>
              </w:rPr>
              <w:t>在沟通方面：</w:t>
            </w:r>
          </w:p>
          <w:p>
            <w:pPr>
              <w:ind w:firstLine="420" w:firstLineChars="200"/>
              <w:rPr>
                <w:rFonts w:hint="eastAsia"/>
              </w:rPr>
            </w:pPr>
            <w:r>
              <w:rPr>
                <w:rFonts w:hint="eastAsia"/>
              </w:rPr>
              <w:t>公司建立、实施并保持</w:t>
            </w:r>
            <w:r>
              <w:rPr>
                <w:rFonts w:hint="eastAsia"/>
                <w:lang w:eastAsia="zh-CN"/>
              </w:rPr>
              <w:t>信息沟通</w:t>
            </w:r>
            <w:r>
              <w:rPr>
                <w:rFonts w:hint="eastAsia"/>
              </w:rPr>
              <w:t>，以建立并保持与员工、相关方交流沟通，确保能源管理体系的有效运行。</w:t>
            </w:r>
          </w:p>
          <w:p>
            <w:pPr>
              <w:rPr>
                <w:rFonts w:hint="eastAsia"/>
              </w:rPr>
            </w:pPr>
            <w:r>
              <w:rPr>
                <w:rFonts w:hint="eastAsia"/>
                <w:lang w:val="en-US" w:eastAsia="zh-CN"/>
              </w:rPr>
              <w:t>规定能源管理体系的相关信息进行内、外部交流的程序及交流的方式、内容、对象和时机。</w:t>
            </w:r>
            <w:r>
              <w:rPr>
                <w:rFonts w:hint="eastAsia"/>
              </w:rPr>
              <w:t>信息的沟通方式主要有：</w:t>
            </w:r>
            <w:r>
              <w:rPr>
                <w:rFonts w:hint="eastAsia"/>
                <w:lang w:val="en-US" w:eastAsia="zh-CN"/>
              </w:rPr>
              <w:t>电话、</w:t>
            </w:r>
            <w:r>
              <w:rPr>
                <w:rFonts w:hint="eastAsia"/>
              </w:rPr>
              <w:t>文件、会议、宣传栏、计算机网络</w:t>
            </w:r>
            <w:r>
              <w:rPr>
                <w:rFonts w:hint="eastAsia"/>
                <w:lang w:eastAsia="zh-CN"/>
              </w:rPr>
              <w:t>（</w:t>
            </w:r>
            <w:r>
              <w:rPr>
                <w:rFonts w:hint="eastAsia"/>
                <w:lang w:val="en-US" w:eastAsia="zh-CN"/>
              </w:rPr>
              <w:t>含ERP</w:t>
            </w:r>
            <w:r>
              <w:rPr>
                <w:rFonts w:hint="eastAsia"/>
                <w:lang w:eastAsia="zh-CN"/>
              </w:rPr>
              <w:t>）</w:t>
            </w:r>
            <w:r>
              <w:rPr>
                <w:rFonts w:hint="eastAsia"/>
              </w:rPr>
              <w:t>、报表等形式。</w:t>
            </w:r>
          </w:p>
          <w:p>
            <w:pPr>
              <w:ind w:firstLine="420" w:firstLineChars="200"/>
              <w:rPr>
                <w:rFonts w:hint="eastAsia"/>
                <w:lang w:val="en-US" w:eastAsia="zh-CN"/>
              </w:rPr>
            </w:pPr>
            <w:r>
              <w:rPr>
                <w:rFonts w:hint="eastAsia"/>
                <w:lang w:val="en-US" w:eastAsia="zh-CN"/>
              </w:rPr>
              <w:t>目前本部门没有发生有上述的问题。</w:t>
            </w:r>
          </w:p>
          <w:p>
            <w:pPr>
              <w:numPr>
                <w:ilvl w:val="0"/>
                <w:numId w:val="2"/>
              </w:numPr>
              <w:ind w:firstLine="420" w:firstLineChars="200"/>
              <w:rPr>
                <w:rFonts w:hint="eastAsia"/>
                <w:lang w:val="en-US" w:eastAsia="zh-CN"/>
              </w:rPr>
            </w:pPr>
            <w:r>
              <w:rPr>
                <w:rFonts w:hint="eastAsia"/>
                <w:lang w:val="en-US" w:eastAsia="zh-CN"/>
              </w:rPr>
              <w:t>查培训</w:t>
            </w:r>
          </w:p>
          <w:p>
            <w:pPr>
              <w:ind w:firstLine="420" w:firstLineChars="200"/>
              <w:rPr>
                <w:rFonts w:hint="eastAsia"/>
                <w:lang w:val="en-US" w:eastAsia="zh-CN"/>
              </w:rPr>
            </w:pPr>
            <w:r>
              <w:rPr>
                <w:rFonts w:hint="eastAsia"/>
                <w:lang w:val="en-US" w:eastAsia="zh-CN"/>
              </w:rPr>
              <w:t>提供《2021年度培训》，编号：HB-II05-02，涵盖内容有：序号、培训项目或主题、培训类型（内训/外训）、培训目的、培训内容、培训对象、预计月份、学时、预计费用、备注。</w:t>
            </w: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lang w:val="en-US" w:eastAsia="zh-CN"/>
              </w:rPr>
            </w:pPr>
            <w:r>
              <w:drawing>
                <wp:inline distT="0" distB="0" distL="114300" distR="114300">
                  <wp:extent cx="4578985" cy="2532380"/>
                  <wp:effectExtent l="0" t="0" r="63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578985" cy="2532380"/>
                          </a:xfrm>
                          <a:prstGeom prst="rect">
                            <a:avLst/>
                          </a:prstGeom>
                          <a:noFill/>
                          <a:ln>
                            <a:noFill/>
                          </a:ln>
                        </pic:spPr>
                      </pic:pic>
                    </a:graphicData>
                  </a:graphic>
                </wp:inline>
              </w:drawing>
            </w:r>
          </w:p>
          <w:p>
            <w:pPr>
              <w:pStyle w:val="2"/>
              <w:numPr>
                <w:ilvl w:val="0"/>
                <w:numId w:val="0"/>
              </w:numPr>
              <w:rPr>
                <w:rFonts w:hint="default"/>
                <w:lang w:val="en-US" w:eastAsia="zh-CN"/>
              </w:rPr>
            </w:pPr>
            <w:r>
              <w:rPr>
                <w:rFonts w:hint="eastAsia"/>
                <w:lang w:val="en-US" w:eastAsia="zh-CN"/>
              </w:rPr>
              <w:t xml:space="preserve">    抽查2021年1月8日的诺言管理体系启动培训的记录：</w:t>
            </w:r>
          </w:p>
          <w:p>
            <w:pPr>
              <w:pStyle w:val="2"/>
              <w:jc w:val="center"/>
              <w:rPr>
                <w:rFonts w:hint="default"/>
                <w:lang w:val="en-US" w:eastAsia="zh-CN"/>
              </w:rPr>
            </w:pPr>
            <w:r>
              <w:drawing>
                <wp:inline distT="0" distB="0" distL="114300" distR="114300">
                  <wp:extent cx="3801745" cy="2419350"/>
                  <wp:effectExtent l="0" t="0" r="63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3801745" cy="241935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三、查阅资质：提供有</w:t>
            </w:r>
          </w:p>
          <w:p>
            <w:pPr>
              <w:numPr>
                <w:ilvl w:val="0"/>
                <w:numId w:val="0"/>
              </w:numPr>
              <w:ind w:left="420" w:leftChars="0" w:firstLine="210" w:firstLineChars="100"/>
              <w:rPr>
                <w:rFonts w:hint="eastAsia"/>
                <w:lang w:val="en-US" w:eastAsia="zh-CN"/>
              </w:rPr>
            </w:pPr>
            <w:r>
              <w:rPr>
                <w:rFonts w:hint="eastAsia"/>
                <w:lang w:val="en-US" w:eastAsia="zh-CN"/>
              </w:rPr>
              <w:t>1、特种（设备）作业人员登记表   有编号。</w:t>
            </w:r>
          </w:p>
          <w:p>
            <w:pPr>
              <w:pStyle w:val="2"/>
              <w:jc w:val="center"/>
            </w:pPr>
            <w:r>
              <w:drawing>
                <wp:inline distT="0" distB="0" distL="114300" distR="114300">
                  <wp:extent cx="4088130" cy="1844040"/>
                  <wp:effectExtent l="0" t="0" r="381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4088130" cy="184404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 xml:space="preserve">    </w:t>
            </w:r>
            <w:r>
              <w:rPr>
                <w:rFonts w:hint="eastAsia"/>
                <w:b/>
                <w:bCs/>
                <w:color w:val="000000" w:themeColor="text1"/>
                <w:lang w:val="en-US" w:eastAsia="zh-CN"/>
                <w14:textFill>
                  <w14:solidFill>
                    <w14:schemeClr w14:val="tx1"/>
                  </w14:solidFill>
                </w14:textFill>
              </w:rPr>
              <w:t>查《虹波公司电工证持证人员2021（低压电工）》”，其中：电工陈虎（设备动力部），复审日期为“2021.07”，备注：“已培训，待取新证”。建议提供具有说服力的补充说明。  问题</w:t>
            </w:r>
          </w:p>
          <w:p>
            <w:pPr>
              <w:ind w:firstLine="210" w:firstLineChars="100"/>
              <w:jc w:val="center"/>
              <w:rPr>
                <w:rFonts w:hint="eastAsia"/>
                <w:lang w:val="en-US" w:eastAsia="zh-CN"/>
              </w:rPr>
            </w:pPr>
            <w:r>
              <w:drawing>
                <wp:inline distT="0" distB="0" distL="114300" distR="114300">
                  <wp:extent cx="4335780" cy="1847850"/>
                  <wp:effectExtent l="0" t="0" r="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4335780" cy="1847850"/>
                          </a:xfrm>
                          <a:prstGeom prst="rect">
                            <a:avLst/>
                          </a:prstGeom>
                          <a:noFill/>
                          <a:ln>
                            <a:noFill/>
                          </a:ln>
                        </pic:spPr>
                      </pic:pic>
                    </a:graphicData>
                  </a:graphic>
                </wp:inline>
              </w:drawing>
            </w:r>
          </w:p>
          <w:p>
            <w:pPr>
              <w:ind w:firstLine="210" w:firstLineChars="100"/>
              <w:rPr>
                <w:rFonts w:hint="eastAsia"/>
                <w:lang w:val="en-US" w:eastAsia="zh-CN"/>
              </w:rPr>
            </w:pPr>
          </w:p>
          <w:p>
            <w:pPr>
              <w:ind w:firstLine="210" w:firstLineChars="100"/>
              <w:rPr>
                <w:rFonts w:hint="eastAsia"/>
                <w:lang w:val="en-US" w:eastAsia="zh-CN"/>
              </w:rPr>
            </w:pPr>
            <w:bookmarkStart w:id="0" w:name="_GoBack"/>
            <w:bookmarkEnd w:id="0"/>
          </w:p>
          <w:p>
            <w:pPr>
              <w:ind w:firstLine="210" w:firstLineChars="100"/>
              <w:jc w:val="center"/>
              <w:rPr>
                <w:rFonts w:hint="eastAsia"/>
                <w:lang w:val="en-US" w:eastAsia="zh-CN"/>
              </w:rPr>
            </w:pPr>
            <w:r>
              <w:drawing>
                <wp:inline distT="0" distB="0" distL="114300" distR="114300">
                  <wp:extent cx="4343400" cy="1664970"/>
                  <wp:effectExtent l="0" t="0" r="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4343400" cy="1664970"/>
                          </a:xfrm>
                          <a:prstGeom prst="rect">
                            <a:avLst/>
                          </a:prstGeom>
                          <a:noFill/>
                          <a:ln>
                            <a:noFill/>
                          </a:ln>
                        </pic:spPr>
                      </pic:pic>
                    </a:graphicData>
                  </a:graphic>
                </wp:inline>
              </w:drawing>
            </w:r>
          </w:p>
          <w:p>
            <w:pPr>
              <w:ind w:firstLine="210" w:firstLineChars="100"/>
              <w:rPr>
                <w:rFonts w:hint="eastAsia"/>
                <w:lang w:val="en-US" w:eastAsia="zh-CN"/>
              </w:rPr>
            </w:pPr>
            <w:r>
              <w:rPr>
                <w:rFonts w:hint="eastAsia"/>
                <w:lang w:val="en-US" w:eastAsia="zh-CN"/>
              </w:rPr>
              <w:t>等等符合要求。</w:t>
            </w:r>
          </w:p>
          <w:p>
            <w:pPr>
              <w:numPr>
                <w:ilvl w:val="0"/>
                <w:numId w:val="0"/>
              </w:numPr>
              <w:ind w:firstLine="210" w:firstLineChars="100"/>
              <w:rPr>
                <w:rFonts w:hint="eastAsia"/>
                <w:lang w:val="en-US" w:eastAsia="zh-CN"/>
              </w:rPr>
            </w:pPr>
            <w:r>
              <w:rPr>
                <w:rFonts w:hint="eastAsia"/>
                <w:lang w:val="en-US" w:eastAsia="zh-CN"/>
              </w:rPr>
              <w:t>抽查原件：1、焊工原件，2、低压电工作业证书原件，3、高压电工作业证书原件</w:t>
            </w:r>
          </w:p>
          <w:p>
            <w:pPr>
              <w:pStyle w:val="2"/>
              <w:jc w:val="center"/>
              <w:rPr>
                <w:rFonts w:hint="default"/>
                <w:lang w:val="en-US" w:eastAsia="zh-CN"/>
              </w:rPr>
            </w:pPr>
            <w:r>
              <w:drawing>
                <wp:inline distT="0" distB="0" distL="114300" distR="114300">
                  <wp:extent cx="1379220" cy="2785110"/>
                  <wp:effectExtent l="0" t="0" r="0" b="38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1379220" cy="2785110"/>
                          </a:xfrm>
                          <a:prstGeom prst="rect">
                            <a:avLst/>
                          </a:prstGeom>
                          <a:noFill/>
                          <a:ln>
                            <a:noFill/>
                          </a:ln>
                        </pic:spPr>
                      </pic:pic>
                    </a:graphicData>
                  </a:graphic>
                </wp:inline>
              </w:drawing>
            </w:r>
            <w:r>
              <w:drawing>
                <wp:inline distT="0" distB="0" distL="114300" distR="114300">
                  <wp:extent cx="1365250" cy="2781935"/>
                  <wp:effectExtent l="0" t="0" r="6350"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1365250" cy="2781935"/>
                          </a:xfrm>
                          <a:prstGeom prst="rect">
                            <a:avLst/>
                          </a:prstGeom>
                          <a:noFill/>
                          <a:ln>
                            <a:noFill/>
                          </a:ln>
                        </pic:spPr>
                      </pic:pic>
                    </a:graphicData>
                  </a:graphic>
                </wp:inline>
              </w:drawing>
            </w:r>
            <w:r>
              <w:drawing>
                <wp:inline distT="0" distB="0" distL="114300" distR="114300">
                  <wp:extent cx="1346835" cy="2767330"/>
                  <wp:effectExtent l="0" t="0" r="190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1346835" cy="276733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有效。</w:t>
            </w:r>
          </w:p>
        </w:tc>
        <w:tc>
          <w:tcPr>
            <w:tcW w:w="121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2160" w:type="dxa"/>
          </w:tcPr>
          <w:p>
            <w:pPr>
              <w:rPr>
                <w:rFonts w:hint="eastAsia" w:ascii="宋体" w:hAnsi="宋体" w:eastAsia="宋体" w:cs="Times New Roman"/>
                <w:sz w:val="21"/>
                <w:szCs w:val="21"/>
              </w:rPr>
            </w:pPr>
            <w:r>
              <w:rPr>
                <w:rFonts w:hint="eastAsia" w:ascii="宋体" w:hAnsi="宋体" w:cs="Times New Roman"/>
                <w:sz w:val="21"/>
                <w:szCs w:val="21"/>
                <w:lang w:val="en-US" w:eastAsia="zh-CN"/>
              </w:rPr>
              <w:t>3.</w:t>
            </w:r>
            <w:r>
              <w:rPr>
                <w:rFonts w:hint="eastAsia" w:ascii="宋体" w:hAnsi="宋体" w:eastAsia="宋体" w:cs="Times New Roman"/>
                <w:sz w:val="21"/>
                <w:szCs w:val="21"/>
              </w:rPr>
              <w:t>运行的策划和控制、</w:t>
            </w:r>
          </w:p>
        </w:tc>
        <w:tc>
          <w:tcPr>
            <w:tcW w:w="960" w:type="dxa"/>
          </w:tcPr>
          <w:p>
            <w:pPr>
              <w:pStyle w:val="2"/>
              <w:ind w:left="0" w:leftChars="0" w:firstLine="0" w:firstLineChars="0"/>
              <w:rPr>
                <w:rFonts w:hint="eastAsia" w:ascii="宋体" w:hAnsi="宋体" w:cs="Times New Roman"/>
                <w:sz w:val="21"/>
                <w:szCs w:val="21"/>
                <w:lang w:val="en-US" w:eastAsia="zh-CN"/>
              </w:rPr>
            </w:pPr>
            <w:r>
              <w:rPr>
                <w:rFonts w:hint="eastAsia" w:ascii="宋体" w:hAnsi="宋体" w:eastAsia="宋体" w:cs="Times New Roman"/>
                <w:sz w:val="21"/>
                <w:szCs w:val="21"/>
              </w:rPr>
              <w:t>8.1</w:t>
            </w:r>
          </w:p>
        </w:tc>
        <w:tc>
          <w:tcPr>
            <w:tcW w:w="10376" w:type="dxa"/>
          </w:tcPr>
          <w:p>
            <w:pPr>
              <w:ind w:firstLine="420"/>
              <w:rPr>
                <w:rFonts w:hint="eastAsia"/>
                <w:lang w:val="en-US" w:eastAsia="zh-CN"/>
              </w:rPr>
            </w:pPr>
            <w:r>
              <w:rPr>
                <w:rFonts w:hint="eastAsia"/>
                <w:lang w:val="en-US" w:eastAsia="zh-CN"/>
              </w:rPr>
              <w:t>提供人力资源方面的制度：</w:t>
            </w:r>
            <w:r>
              <w:rPr>
                <w:rFonts w:hint="eastAsia" w:ascii="宋体" w:hAnsi="宋体" w:eastAsia="宋体" w:cs="Times New Roman"/>
                <w:sz w:val="21"/>
                <w:szCs w:val="21"/>
              </w:rPr>
              <w:t>策划编制有《人力资源管理控制程序》</w:t>
            </w:r>
            <w:r>
              <w:rPr>
                <w:rFonts w:hint="eastAsia" w:ascii="宋体" w:hAnsi="宋体" w:cs="Times New Roman"/>
                <w:sz w:val="21"/>
                <w:szCs w:val="21"/>
                <w:lang w:eastAsia="zh-CN"/>
              </w:rPr>
              <w:t>《</w:t>
            </w:r>
            <w:r>
              <w:rPr>
                <w:rFonts w:hint="eastAsia" w:ascii="宋体" w:hAnsi="宋体" w:eastAsia="宋体" w:cs="Times New Roman"/>
                <w:sz w:val="21"/>
                <w:szCs w:val="21"/>
                <w:lang w:val="en-US" w:eastAsia="zh-CN"/>
              </w:rPr>
              <w:t>能力、意识和培训控制程序</w:t>
            </w:r>
            <w:r>
              <w:rPr>
                <w:rFonts w:hint="eastAsia" w:ascii="宋体" w:hAnsi="宋体" w:cs="Times New Roman"/>
                <w:sz w:val="21"/>
                <w:szCs w:val="21"/>
                <w:lang w:eastAsia="zh-CN"/>
              </w:rPr>
              <w:t>》</w:t>
            </w:r>
            <w:r>
              <w:rPr>
                <w:rFonts w:hint="eastAsia" w:ascii="宋体" w:hAnsi="宋体" w:eastAsia="宋体" w:cs="Times New Roman"/>
                <w:sz w:val="21"/>
                <w:szCs w:val="21"/>
              </w:rPr>
              <w:t>《服务管理控制程序》《虹波公司军工产品作业人员资格认定办法》《员工培训管理制度》等，有发布，实施。有编审批。确保了其适宜性和充分性。。并且在《能源手册》7.2、7.3、7.4条款中内容规定了人力资源部应组织确定与能源绩效和能源管理体系具有影响的人员必备的基本能力要求</w:t>
            </w:r>
            <w:r>
              <w:rPr>
                <w:rFonts w:hint="eastAsia"/>
                <w:lang w:val="en-US" w:eastAsia="zh-CN"/>
              </w:rPr>
              <w:t>等。</w:t>
            </w:r>
          </w:p>
          <w:p>
            <w:pPr>
              <w:pStyle w:val="2"/>
              <w:rPr>
                <w:rFonts w:hint="eastAsia"/>
                <w:lang w:val="en-US" w:eastAsia="zh-CN"/>
              </w:rPr>
            </w:pPr>
            <w:r>
              <w:rPr>
                <w:rFonts w:hint="eastAsia"/>
                <w:lang w:val="en-US" w:eastAsia="zh-CN"/>
              </w:rPr>
              <w:t>人力资源科对公司分管的职责进行每月的绩效考核。包括以下方面的工作：负责组织公司职工教育培训工</w:t>
            </w:r>
          </w:p>
          <w:p>
            <w:pPr>
              <w:rPr>
                <w:rFonts w:hint="default"/>
                <w:lang w:val="en-US" w:eastAsia="zh-CN"/>
              </w:rPr>
            </w:pPr>
            <w:r>
              <w:rPr>
                <w:rFonts w:hint="eastAsia"/>
                <w:lang w:val="en-US" w:eastAsia="zh-CN"/>
              </w:rPr>
              <w:t>作，并对培训效果进行考核。严把招工关，新招录人员符合从业条件。加强劳动纪律管理，严格考核，保证正常的安全生产秩序。负责薪酬管理工作，职工上岗、评奖、晋升、薪酬分配与安全生产挂钩考核。</w:t>
            </w:r>
          </w:p>
        </w:tc>
        <w:tc>
          <w:tcPr>
            <w:tcW w:w="121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2160" w:type="dxa"/>
          </w:tcPr>
          <w:p>
            <w:pPr>
              <w:rPr>
                <w:rFonts w:hint="eastAsia" w:ascii="宋体" w:hAnsi="宋体" w:eastAsia="宋体" w:cs="Times New Roman"/>
                <w:sz w:val="21"/>
                <w:szCs w:val="21"/>
              </w:rPr>
            </w:pPr>
            <w:r>
              <w:rPr>
                <w:rFonts w:hint="eastAsia" w:ascii="宋体" w:hAnsi="宋体" w:cs="Times New Roman"/>
                <w:sz w:val="21"/>
                <w:szCs w:val="21"/>
                <w:lang w:val="en-US" w:eastAsia="zh-CN"/>
              </w:rPr>
              <w:t>4.</w:t>
            </w:r>
            <w:r>
              <w:rPr>
                <w:rFonts w:hint="eastAsia" w:ascii="宋体" w:hAnsi="宋体" w:eastAsia="宋体" w:cs="Times New Roman"/>
                <w:sz w:val="21"/>
                <w:szCs w:val="21"/>
              </w:rPr>
              <w:t>不符合与纠正措施</w:t>
            </w:r>
          </w:p>
        </w:tc>
        <w:tc>
          <w:tcPr>
            <w:tcW w:w="960" w:type="dxa"/>
          </w:tcPr>
          <w:p>
            <w:pPr>
              <w:pStyle w:val="2"/>
              <w:ind w:left="0" w:leftChars="0" w:firstLine="0" w:firstLineChars="0"/>
              <w:rPr>
                <w:rFonts w:hint="eastAsia" w:ascii="宋体" w:hAnsi="宋体" w:cs="Times New Roman"/>
                <w:sz w:val="21"/>
                <w:szCs w:val="21"/>
                <w:lang w:val="en-US" w:eastAsia="zh-CN"/>
              </w:rPr>
            </w:pPr>
            <w:r>
              <w:rPr>
                <w:rFonts w:hint="eastAsia" w:ascii="宋体" w:hAnsi="宋体" w:eastAsia="宋体" w:cs="Times New Roman"/>
                <w:sz w:val="21"/>
                <w:szCs w:val="21"/>
              </w:rPr>
              <w:t>10.1</w:t>
            </w:r>
          </w:p>
        </w:tc>
        <w:tc>
          <w:tcPr>
            <w:tcW w:w="10376" w:type="dxa"/>
          </w:tcPr>
          <w:p>
            <w:pPr>
              <w:ind w:firstLine="420" w:firstLineChars="200"/>
              <w:rPr>
                <w:rFonts w:hint="eastAsia"/>
                <w:lang w:val="en-US" w:eastAsia="zh-CN"/>
              </w:rPr>
            </w:pPr>
            <w:r>
              <w:rPr>
                <w:rFonts w:hint="eastAsia"/>
                <w:lang w:val="en-US" w:eastAsia="zh-CN"/>
              </w:rPr>
              <w:t>提供《En/HB-CX-08能源监视和测量控制程序》《En/HB-CX-11不符合、纠正、改进措施程序》公司规定了为了及时纠正在能源管理体系运行中发现的不符合，采取有效的纠正措施与预防措施，减少对生产经营活动的影响，避免不符合的再次发生。</w:t>
            </w:r>
          </w:p>
          <w:p>
            <w:pPr>
              <w:ind w:firstLine="420" w:firstLineChars="200"/>
              <w:rPr>
                <w:rFonts w:hint="default"/>
                <w:lang w:val="en-US" w:eastAsia="zh-CN"/>
              </w:rPr>
            </w:pPr>
            <w:r>
              <w:rPr>
                <w:rFonts w:hint="eastAsia"/>
                <w:lang w:val="en-US" w:eastAsia="zh-CN"/>
              </w:rPr>
              <w:t>本部门对1、公司职工教育培训工作，并对培训效果进行考核。2、严把招工关，新招录人员符合从业条件。3、加强劳动纪律管理，严格考核，保证正常的安全生产秩序。4、负责薪酬管理工作，职工上岗、评奖、晋升、薪酬分配与安全生产挂钩考核。至今每月进行监管与检查没有发生不符合。</w:t>
            </w:r>
          </w:p>
        </w:tc>
        <w:tc>
          <w:tcPr>
            <w:tcW w:w="1213" w:type="dxa"/>
          </w:tcPr>
          <w:p/>
        </w:tc>
      </w:tr>
    </w:tbl>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-36195</wp:posOffset>
          </wp:positionV>
          <wp:extent cx="389890" cy="366395"/>
          <wp:effectExtent l="0" t="0" r="6350" b="6985"/>
          <wp:wrapTight wrapText="bothSides">
            <wp:wrapPolygon>
              <wp:start x="5910" y="0"/>
              <wp:lineTo x="0" y="3145"/>
              <wp:lineTo x="0" y="16621"/>
              <wp:lineTo x="6332" y="21113"/>
              <wp:lineTo x="9287" y="21113"/>
              <wp:lineTo x="14353" y="21113"/>
              <wp:lineTo x="14775" y="21113"/>
              <wp:lineTo x="20685" y="14375"/>
              <wp:lineTo x="20685" y="5840"/>
              <wp:lineTo x="17308" y="1797"/>
              <wp:lineTo x="14353" y="0"/>
              <wp:lineTo x="5910"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389890" cy="366395"/>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69D7B7"/>
    <w:multiLevelType w:val="singleLevel"/>
    <w:tmpl w:val="9C69D7B7"/>
    <w:lvl w:ilvl="0" w:tentative="0">
      <w:start w:val="2"/>
      <w:numFmt w:val="chineseCounting"/>
      <w:suff w:val="nothing"/>
      <w:lvlText w:val="%1、"/>
      <w:lvlJc w:val="left"/>
      <w:rPr>
        <w:rFonts w:hint="eastAsia"/>
      </w:rPr>
    </w:lvl>
  </w:abstractNum>
  <w:abstractNum w:abstractNumId="1">
    <w:nsid w:val="FC0A0383"/>
    <w:multiLevelType w:val="singleLevel"/>
    <w:tmpl w:val="FC0A038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4690DCD"/>
    <w:rsid w:val="049241BE"/>
    <w:rsid w:val="050778F2"/>
    <w:rsid w:val="06733461"/>
    <w:rsid w:val="08062A86"/>
    <w:rsid w:val="108219C2"/>
    <w:rsid w:val="11171A8E"/>
    <w:rsid w:val="14D728B8"/>
    <w:rsid w:val="17E52C11"/>
    <w:rsid w:val="1CB922AB"/>
    <w:rsid w:val="1CD51CAF"/>
    <w:rsid w:val="25285840"/>
    <w:rsid w:val="254030D9"/>
    <w:rsid w:val="25742AC8"/>
    <w:rsid w:val="25781ADD"/>
    <w:rsid w:val="26A001C3"/>
    <w:rsid w:val="27FA2F4E"/>
    <w:rsid w:val="2C6C02D0"/>
    <w:rsid w:val="2E4F51E2"/>
    <w:rsid w:val="30C84777"/>
    <w:rsid w:val="33392002"/>
    <w:rsid w:val="348179DC"/>
    <w:rsid w:val="3C0C3095"/>
    <w:rsid w:val="3F9D652A"/>
    <w:rsid w:val="3FDC1857"/>
    <w:rsid w:val="409A4F79"/>
    <w:rsid w:val="414D2B24"/>
    <w:rsid w:val="41EB158B"/>
    <w:rsid w:val="41F40AE6"/>
    <w:rsid w:val="423D7A69"/>
    <w:rsid w:val="46E63860"/>
    <w:rsid w:val="47936EDF"/>
    <w:rsid w:val="497343F7"/>
    <w:rsid w:val="4B2C4E58"/>
    <w:rsid w:val="4B9F31AA"/>
    <w:rsid w:val="4FC45709"/>
    <w:rsid w:val="51FB57D8"/>
    <w:rsid w:val="53946D67"/>
    <w:rsid w:val="54830A3A"/>
    <w:rsid w:val="555D7216"/>
    <w:rsid w:val="56D65953"/>
    <w:rsid w:val="582B7E42"/>
    <w:rsid w:val="588277BB"/>
    <w:rsid w:val="5BFD0207"/>
    <w:rsid w:val="5EA12B9A"/>
    <w:rsid w:val="5ED13119"/>
    <w:rsid w:val="5F2773C0"/>
    <w:rsid w:val="63540074"/>
    <w:rsid w:val="66D26201"/>
    <w:rsid w:val="67997EAF"/>
    <w:rsid w:val="71F527E5"/>
    <w:rsid w:val="7AB130BB"/>
    <w:rsid w:val="7B9A7DB6"/>
    <w:rsid w:val="7BA42BD5"/>
    <w:rsid w:val="7DE83916"/>
    <w:rsid w:val="7FE47B6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style>
  <w:style w:type="paragraph" w:styleId="3">
    <w:name w:val="Body Text"/>
    <w:basedOn w:val="1"/>
    <w:qFormat/>
    <w:uiPriority w:val="1"/>
    <w:pPr>
      <w:autoSpaceDE w:val="0"/>
      <w:autoSpaceDN w:val="0"/>
      <w:spacing w:before="92"/>
      <w:ind w:left="980" w:firstLine="480"/>
      <w:jc w:val="left"/>
    </w:pPr>
    <w:rPr>
      <w:rFonts w:ascii="宋体" w:hAnsi="宋体" w:cs="宋体"/>
      <w:kern w:val="0"/>
      <w:sz w:val="24"/>
      <w:szCs w:val="24"/>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w:basedOn w:val="3"/>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font01"/>
    <w:basedOn w:val="10"/>
    <w:qFormat/>
    <w:uiPriority w:val="0"/>
    <w:rPr>
      <w:rFonts w:hint="eastAsia" w:ascii="宋体" w:hAnsi="宋体" w:eastAsia="宋体" w:cs="宋体"/>
      <w:color w:val="000000"/>
      <w:sz w:val="20"/>
      <w:szCs w:val="20"/>
      <w:u w:val="none"/>
    </w:rPr>
  </w:style>
  <w:style w:type="paragraph" w:styleId="16">
    <w:name w:val="List Paragraph"/>
    <w:basedOn w:val="1"/>
    <w:qFormat/>
    <w:uiPriority w:val="1"/>
    <w:pPr>
      <w:autoSpaceDE w:val="0"/>
      <w:autoSpaceDN w:val="0"/>
      <w:spacing w:before="92"/>
      <w:ind w:left="980" w:hanging="601"/>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6</TotalTime>
  <ScaleCrop>false</ScaleCrop>
  <LinksUpToDate>false</LinksUpToDate>
  <CharactersWithSpaces>147</CharactersWithSpaces>
  <Application>WPS Office_11.3.0.9221_F1E327BC-269C-435d-A152-05C5408002CA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王宁敏</cp:lastModifiedBy>
  <dcterms:modified xsi:type="dcterms:W3CDTF">2021-09-11T08:16:43Z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