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05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0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丝材部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王佳彬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孙红云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05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周涛、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9.10</w:t>
            </w:r>
          </w:p>
        </w:tc>
        <w:tc>
          <w:tcPr>
            <w:tcW w:w="8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05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Cs w:val="21"/>
              </w:rPr>
              <w:t xml:space="preserve">5.3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 xml:space="preserve">6.2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/>
                <w:szCs w:val="21"/>
              </w:rPr>
              <w:t>8.1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/10.1/10.2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丝材部职责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kern w:val="0"/>
                <w:szCs w:val="21"/>
              </w:rPr>
              <w:t>按照公司年度生产经营计划，评估本部门生产能力，提出资源配置建议。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hAnsi="宋体"/>
                <w:kern w:val="0"/>
                <w:szCs w:val="21"/>
              </w:rPr>
              <w:t>按照下达的生产计划，合理组织资源进行生产，巡检工艺执行情况，及时处理生产异常，控制生产进度，确保产品按期交货。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hAnsi="宋体"/>
                <w:kern w:val="0"/>
                <w:szCs w:val="21"/>
              </w:rPr>
              <w:t>优化生产过程管理，承担在制品、机物料等物料管理工作。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hAnsi="宋体"/>
                <w:kern w:val="0"/>
                <w:szCs w:val="21"/>
              </w:rPr>
              <w:t>执行安全生产规范，确保安全生产。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hAnsi="宋体"/>
                <w:kern w:val="0"/>
                <w:szCs w:val="21"/>
              </w:rPr>
              <w:t>协助质量管理部制定及修订生产工艺标准、产品技术标准等文件。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hAnsi="宋体"/>
                <w:kern w:val="0"/>
                <w:szCs w:val="21"/>
              </w:rPr>
              <w:t>承担部门权限范围内的生产工艺调整，编制、完善各类作业指导书，分别报质量管理部、运管中心备案。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hAnsi="宋体"/>
                <w:kern w:val="0"/>
                <w:szCs w:val="21"/>
              </w:rPr>
              <w:t>承担产品生产工艺标准及技术标准的落实、维护工作。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hAnsi="宋体"/>
                <w:kern w:val="0"/>
                <w:szCs w:val="21"/>
              </w:rPr>
              <w:t>根据本部门技术瓶颈问题，提出技改需求方案，协助技改实施、竣工验收及资料整理工作。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9、</w:t>
            </w:r>
            <w:r>
              <w:rPr>
                <w:rFonts w:hint="eastAsia" w:hAnsi="宋体"/>
                <w:kern w:val="0"/>
                <w:szCs w:val="21"/>
              </w:rPr>
              <w:t>承担本部门生产工艺技术参数、技术资料的收集、整理、保管等工作，并报质量管理部备案。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10、</w:t>
            </w:r>
            <w:r>
              <w:rPr>
                <w:rFonts w:hint="eastAsia" w:hAnsi="宋体"/>
                <w:kern w:val="0"/>
                <w:szCs w:val="21"/>
              </w:rPr>
              <w:t>协助质量管理部论证研发项目技术可行性。</w:t>
            </w:r>
          </w:p>
          <w:p>
            <w:pPr>
              <w:spacing w:line="360" w:lineRule="exact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11、</w:t>
            </w:r>
            <w:r>
              <w:rPr>
                <w:rFonts w:hint="eastAsia" w:hAnsi="宋体"/>
                <w:kern w:val="0"/>
                <w:szCs w:val="21"/>
              </w:rPr>
              <w:t>根据质量管理部下达的产品开发计划，制定开发方案，并组织实施。收集生产过程中的相关数据，编制生产日报表及时上报。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12、</w:t>
            </w:r>
            <w:r>
              <w:rPr>
                <w:rFonts w:hint="eastAsia" w:hAnsi="宋体"/>
                <w:kern w:val="0"/>
                <w:szCs w:val="21"/>
              </w:rPr>
              <w:t>按照设备维护保养规定，开展部门所属设备的日常维保工作。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13、</w:t>
            </w:r>
            <w:r>
              <w:rPr>
                <w:rFonts w:hint="eastAsia" w:hAnsi="宋体"/>
                <w:kern w:val="0"/>
                <w:szCs w:val="21"/>
              </w:rPr>
              <w:t>监控设备运行状况，发现异常及时组织部门内外部力量排除设备故障，对瓶颈设备的故障处理须报运管中心备案。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14、</w:t>
            </w:r>
            <w:r>
              <w:rPr>
                <w:rFonts w:hint="eastAsia" w:hAnsi="宋体"/>
                <w:kern w:val="0"/>
                <w:szCs w:val="21"/>
              </w:rPr>
              <w:t>配合设备动力部及动力部开展设备安装、设备大、中修、设备临时检修工作。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15、</w:t>
            </w:r>
            <w:r>
              <w:rPr>
                <w:rFonts w:hint="eastAsia" w:hAnsi="宋体"/>
                <w:kern w:val="0"/>
                <w:szCs w:val="21"/>
              </w:rPr>
              <w:t>提出设备采购需求，提供设备选型技术支持，并协同验收。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经理对职责基本明确清晰。</w:t>
            </w:r>
          </w:p>
        </w:tc>
        <w:tc>
          <w:tcPr>
            <w:tcW w:w="88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能源目标\</w:t>
            </w:r>
            <w:r>
              <w:rPr>
                <w:rFonts w:hint="eastAsia" w:ascii="宋体" w:hAnsi="宋体"/>
                <w:szCs w:val="21"/>
              </w:rPr>
              <w:t>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En6.2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丝材部2020的能耗指标：单位产品能耗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2020年单位产品能耗为5.29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以2020年的实际单耗为2021年的能源目标，即2021年的能源目标为：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  <w:p>
            <w:pPr>
              <w:pStyle w:val="2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2021年1-8月份单位产品能耗为5.34kgce/kg。</w:t>
            </w:r>
          </w:p>
          <w:p>
            <w:pPr>
              <w:pStyle w:val="2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有上述指标来看，2020年、2021年1-8月份，单位产品能耗已经高于目标值，需要进行原因分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析，并制定节能措施。</w:t>
            </w:r>
          </w:p>
        </w:tc>
        <w:tc>
          <w:tcPr>
            <w:tcW w:w="884" w:type="dxa"/>
          </w:tcPr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lang w:val="en-US" w:eastAsia="zh-CN"/>
              </w:rPr>
              <w:t>不符合项开在10.1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En6.3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提供：“成都虹波实业股份有限公司能源评审报告”2021年8月10；内容包括：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能源评审基础信息（目的和范围和边界、评审期、公司能源使用基本情况、淘汰能耗落后工艺、设备概况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公司管理体系覆盖范围包括：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水泵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生产和销售所涉及的能源管理的能源购入、能源转换、能源分配传输和能源使用活动。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评审期：2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年1月1日～20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年12月31日。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基准期：2019年1月1日～2019年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月31日生产</w:t>
            </w:r>
            <w:r>
              <w:rPr>
                <w:rFonts w:ascii="宋体" w:hAnsi="宋体"/>
                <w:szCs w:val="21"/>
              </w:rPr>
              <w:t>周期内平均值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能源管理状况评审（能源方针目标、能源管理组织及职责、能源管理制度、能源管理、能源计量、能源统计管理、能源定额管理、近三年生产和节能技改项目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能源利用状况评审（能源消耗结构分析、用能设备能耗分析等）；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节能潜力分析和能源绩效优先改进机会识别（管理改进方法、项目改进方法）；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未来能源的消耗分析；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能源评审输出（能源绩效参数、能源基准和能源目标指标、影响主要能源使用的相关变量和参数控制）；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结论和建议（总体评价、建议）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以上内容基本满足标准要求。</w:t>
            </w:r>
          </w:p>
        </w:tc>
        <w:tc>
          <w:tcPr>
            <w:tcW w:w="8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能源绩效参数、能源基准的确定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En6.4/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1070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丝材部根据2019年的生产经营情况进行分析，确定2020年的单位产品能耗为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kgce/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  <w:r>
              <w:rPr>
                <w:rFonts w:hint="eastAsia"/>
                <w:lang w:val="en-US" w:eastAsia="zh-CN"/>
              </w:rPr>
              <w:t xml:space="preserve">。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企业制定的能源绩效参数为：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综合能耗、和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单位产品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综合能耗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/>
                <w:lang w:val="en-US" w:eastAsia="zh-CN"/>
              </w:rPr>
              <w:t>kgce/kg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能源基准以上年度实际发生值为基准。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根据能源评审报告分析：202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年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成都虹波实业股份有限公司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的能源绩效参数和能源基准确定如下;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8"/>
              <w:gridCol w:w="989"/>
              <w:gridCol w:w="2067"/>
              <w:gridCol w:w="1170"/>
              <w:gridCol w:w="1940"/>
              <w:gridCol w:w="1160"/>
              <w:gridCol w:w="1436"/>
              <w:gridCol w:w="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818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级别</w:t>
                  </w:r>
                </w:p>
              </w:tc>
              <w:tc>
                <w:tcPr>
                  <w:tcW w:w="2067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能源绩效参数</w:t>
                  </w:r>
                </w:p>
              </w:tc>
              <w:tc>
                <w:tcPr>
                  <w:tcW w:w="1170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单位</w:t>
                  </w:r>
                </w:p>
              </w:tc>
              <w:tc>
                <w:tcPr>
                  <w:tcW w:w="1940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能源基准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（2019年）</w:t>
                  </w:r>
                </w:p>
              </w:tc>
              <w:tc>
                <w:tcPr>
                  <w:tcW w:w="1160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能源目标</w:t>
                  </w:r>
                </w:p>
                <w:p>
                  <w:pPr>
                    <w:pStyle w:val="2"/>
                    <w:ind w:left="0" w:leftChars="0" w:firstLine="0" w:firstLineChars="0"/>
                    <w:jc w:val="center"/>
                    <w:rPr>
                      <w:rFonts w:hint="default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36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完成时间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(2020)</w:t>
                  </w:r>
                </w:p>
              </w:tc>
              <w:tc>
                <w:tcPr>
                  <w:tcW w:w="756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818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二</w:t>
                  </w:r>
                </w:p>
              </w:tc>
              <w:tc>
                <w:tcPr>
                  <w:tcW w:w="2067" w:type="dxa"/>
                </w:tcPr>
                <w:p>
                  <w:pPr>
                    <w:pStyle w:val="2"/>
                    <w:ind w:left="0" w:lef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单位产品综合能耗</w:t>
                  </w:r>
                </w:p>
              </w:tc>
              <w:tc>
                <w:tcPr>
                  <w:tcW w:w="1170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Kgce/kg</w:t>
                  </w:r>
                </w:p>
              </w:tc>
              <w:tc>
                <w:tcPr>
                  <w:tcW w:w="1940" w:type="dxa"/>
                </w:tcPr>
                <w:p>
                  <w:pPr>
                    <w:pStyle w:val="2"/>
                    <w:ind w:left="0" w:leftChars="0" w:firstLine="440" w:firstLineChars="200"/>
                    <w:rPr>
                      <w:rFonts w:hint="default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60" w:type="dxa"/>
                  <w:vAlign w:val="top"/>
                </w:tcPr>
                <w:p>
                  <w:pPr>
                    <w:pStyle w:val="2"/>
                    <w:ind w:left="0" w:leftChars="0" w:firstLine="220" w:firstLineChars="10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436" w:type="dxa"/>
                </w:tcPr>
                <w:p>
                  <w:pPr>
                    <w:pStyle w:val="2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5.29</w:t>
                  </w:r>
                </w:p>
              </w:tc>
              <w:tc>
                <w:tcPr>
                  <w:tcW w:w="756" w:type="dxa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能源数据的收集策划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En6.6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该企业根据能源统计和能源核算以及成本考核等因素，对能源数据的收集进行了策划，并通过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生产统计表（日报表）的形式予以展示，按照数据收集策划的要求对能源消耗进行成本核算和考核，基本满足企业能源管理的要求。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但企业并未形成文件化或准则要求，建议企业逐步改进，已与企业进行沟通。</w:t>
            </w:r>
          </w:p>
        </w:tc>
        <w:tc>
          <w:tcPr>
            <w:tcW w:w="884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运行控制、沟通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En7.4/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8.1/9.1.1</w:t>
            </w:r>
          </w:p>
        </w:tc>
        <w:tc>
          <w:tcPr>
            <w:tcW w:w="1070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一、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丝材部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工艺流程：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生产工艺流程图：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3639185" cy="2484755"/>
                  <wp:effectExtent l="0" t="0" r="5715" b="444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9185" cy="248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生产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过程能耗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控制情况：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抽查：202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1号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份生产统计表（日报表）和202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月份生产统计表（日报表）分析当月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能耗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与产品的消耗等数据，对能源消耗进行控制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。</w:t>
            </w:r>
          </w:p>
          <w:tbl>
            <w:tblPr>
              <w:tblStyle w:val="10"/>
              <w:tblW w:w="9571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1"/>
              <w:gridCol w:w="2570"/>
              <w:gridCol w:w="2650"/>
              <w:gridCol w:w="23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5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2020年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2021年1-8月份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lang w:val="en-US" w:eastAsia="zh-CN"/>
                    </w:rPr>
                    <w:t>产量（kg）</w:t>
                  </w:r>
                </w:p>
              </w:tc>
              <w:tc>
                <w:tcPr>
                  <w:tcW w:w="25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丝材部</w:t>
                  </w:r>
                </w:p>
              </w:tc>
              <w:tc>
                <w:tcPr>
                  <w:tcW w:w="26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lang w:val="en-US" w:eastAsia="zh-CN"/>
                    </w:rPr>
                    <w:t>124850.88</w:t>
                  </w:r>
                </w:p>
              </w:tc>
              <w:tc>
                <w:tcPr>
                  <w:tcW w:w="23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lang w:val="en-US" w:eastAsia="zh-CN"/>
                    </w:rPr>
                    <w:t>76675.45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21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电（kwh）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丝材部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2050314.08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1184741.74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21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天然气（m³）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丝材部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303086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195664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21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水（吨）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丝材部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21765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12835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21" w:type="dxa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氢气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丝材部</w:t>
                  </w:r>
                </w:p>
              </w:tc>
              <w:tc>
                <w:tcPr>
                  <w:tcW w:w="26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34867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38661</w:t>
                  </w:r>
                </w:p>
              </w:tc>
            </w:tr>
          </w:tbl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三、设备管理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提供：设备管理制度及生产设备台账，编制了设备管理制度和生产设备台账，对主要耗能设备进行识别，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主要耗能设备</w:t>
            </w:r>
          </w:p>
          <w:p>
            <w:pPr>
              <w:pStyle w:val="3"/>
              <w:numPr>
                <w:ilvl w:val="0"/>
                <w:numId w:val="0"/>
              </w:numPr>
              <w:ind w:firstLine="630" w:firstLineChars="300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中频退火设备、拉丝机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</w:p>
          <w:p>
            <w:pPr>
              <w:pStyle w:val="3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能源计量管理：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提供：测量设备管理台账见下图</w:t>
            </w:r>
          </w:p>
          <w:tbl>
            <w:tblPr>
              <w:tblStyle w:val="10"/>
              <w:tblW w:w="9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2"/>
              <w:gridCol w:w="1517"/>
              <w:gridCol w:w="719"/>
              <w:gridCol w:w="722"/>
              <w:gridCol w:w="719"/>
              <w:gridCol w:w="719"/>
              <w:gridCol w:w="719"/>
              <w:gridCol w:w="719"/>
              <w:gridCol w:w="719"/>
              <w:gridCol w:w="721"/>
              <w:gridCol w:w="7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0" w:hRule="atLeast"/>
                <w:tblHeader/>
              </w:trPr>
              <w:tc>
                <w:tcPr>
                  <w:tcW w:w="11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分级、分项</w:t>
                  </w:r>
                </w:p>
              </w:tc>
              <w:tc>
                <w:tcPr>
                  <w:tcW w:w="151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级或项的名称</w:t>
                  </w:r>
                </w:p>
              </w:tc>
              <w:tc>
                <w:tcPr>
                  <w:tcW w:w="6478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配备的计量器具类别及数量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30" w:hRule="atLeast"/>
                <w:tblHeader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电能表</w:t>
                  </w:r>
                </w:p>
              </w:tc>
              <w:tc>
                <w:tcPr>
                  <w:tcW w:w="215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气体流量表(装置)</w:t>
                  </w:r>
                </w:p>
              </w:tc>
              <w:tc>
                <w:tcPr>
                  <w:tcW w:w="216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水流量表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(装置)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750" w:hRule="atLeast"/>
                <w:tblHeader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应配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数量（台）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实配数量（台）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配备率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（%）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应配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数量（台）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实配数量（台）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配备率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（%）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应配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数量（台）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实配数量（台）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配备率</w:t>
                  </w:r>
                </w:p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int="eastAsia"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8" w:hRule="atLeast"/>
                <w:tblHeader/>
              </w:trPr>
              <w:tc>
                <w:tcPr>
                  <w:tcW w:w="11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进出用能单位</w:t>
                  </w: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成都虹波实业股份有限公司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进出主要次级用能单位</w:t>
                  </w: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jc w:val="both"/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sz w:val="20"/>
                      <w:szCs w:val="20"/>
                    </w:rPr>
                    <w:t>1 钼粉制造部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jc w:val="both"/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sz w:val="20"/>
                      <w:szCs w:val="20"/>
                    </w:rPr>
                    <w:t>2丝材部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pacing w:after="0"/>
                    <w:jc w:val="center"/>
                    <w:rPr>
                      <w:rFonts w:ascii="Times New Roman" w:hAnsi="Times New Roman" w:eastAsia="宋体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3 制品制造部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4 军品生产部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5 设备动力部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合计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主要用能设备</w:t>
                  </w: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1钼粉制造部十五管炉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13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 w:eastAsia="宋体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rPr>
                      <w:rFonts w:hAnsi="宋体"/>
                      <w:sz w:val="20"/>
                    </w:rPr>
                  </w:pPr>
                  <w:r>
                    <w:rPr>
                      <w:rFonts w:hint="eastAsia" w:hAnsi="宋体"/>
                      <w:sz w:val="20"/>
                    </w:rPr>
                    <w:t>2制品制造部中频炉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6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  <w:tc>
                <w:tcPr>
                  <w:tcW w:w="7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5"/>
                    <w:adjustRightInd w:val="0"/>
                    <w:snapToGrid w:val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/</w:t>
                  </w:r>
                </w:p>
              </w:tc>
            </w:tr>
          </w:tbl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4"/>
              <w:spacing w:before="0" w:after="0" w:line="4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4"/>
              <w:spacing w:before="0" w:after="0" w:line="4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五、淘汰能耗落后工艺、设备概况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按照国家政策法规文件识别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成都虹波实业股份有限公司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无相关能耗落后的工艺，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也无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淘汰落后设备。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能源绩效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tbl>
            <w:tblPr>
              <w:tblStyle w:val="10"/>
              <w:tblW w:w="4430" w:type="dxa"/>
              <w:tblInd w:w="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3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2019年公司生产能源消耗实际情况：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2019年综合能耗为：440855.98kgce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2019年总产量为：121744.65kg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单位产品能耗为：3.62kgce/kg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2020年公司生产能源消耗实际情况：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2020年综合能耗为：660683.76kgce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2020年总产量为：124850.88kg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单位产品能耗为：5.29kgce/kg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2021年1月-8月用能情况如下：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2021年1月-8月综合能耗为：409137.76kgce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2021年1月-8月总产量为：76675.45kg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单位产品能耗为：5.34kgce/kg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七、现场巡视情况：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现场查看生产控制和设备运行情况，部分生产设备正在运行现场生产秩序良好，未发现跑冒滴漏现象；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现场计量设备有计量确认合格证。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800350" cy="1725930"/>
                  <wp:effectExtent l="0" t="0" r="6350" b="1270"/>
                  <wp:docPr id="52" name="图片 52" descr="e98ad7160667d0cd66ea2b139800d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e98ad7160667d0cd66ea2b139800d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472690" cy="1723390"/>
                  <wp:effectExtent l="0" t="0" r="3810" b="3810"/>
                  <wp:docPr id="53" name="图片 53" descr="454ca2bf0f1ef4407ea9c4819da9a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454ca2bf0f1ef4407ea9c4819da9a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0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940685" cy="1992630"/>
                  <wp:effectExtent l="0" t="0" r="5715" b="1270"/>
                  <wp:docPr id="54" name="图片 54" descr="f1502d995473d40f9717903bd070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f1502d995473d40f9717903bd070ed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199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   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871470" cy="2011680"/>
                  <wp:effectExtent l="0" t="0" r="11430" b="7620"/>
                  <wp:docPr id="55" name="图片 55" descr="db8389f569a4fcf61e306939e8c86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db8389f569a4fcf61e306939e8c86c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7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生产控制及设备运行情况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抽查《203旋锻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作业指导书》、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《二串串打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作业指导书》、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《圆钼杆对焊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作业指导书》、《三串串打作业指导书》、《圆钼杆清洗退火作业指导书》、《四串串打作业指导书》、《大转盘拉钼丝作业指导书》、《小转盘拉钼丝作业指导书》、《三模拉钼丝作业指导书》、《粗钼丝退火G作业指导书》、《气大八模拉钼丝作业指导书》、《粗钨、钼丝电解抛光作业指导书》、《粗钨作业指导书》、《钼丝烧氢作业指导书》、《电大八模拉钼丝作业指导书》、《冷拉线切割钼丝作业指导书》、《细钼丝氧化退火作业指导书》、《中八模拉钼丝作业指导书》、《小六模拉钼丝作业指导书》、《小八模拉钼丝作业指导书》、《钼丝烧氢作业指导书》、《中钼丝电解抛光细钼丝电解抛光作业指导书》、《钼丝复绕作业指导书》、《小四模拉钼丝作业指导书》、《超细钼丝电解抛光作业指导书》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规定了操作标准，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现场查看操作规程情况：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提供《作业</w:t>
            </w:r>
            <w:r>
              <w:rPr>
                <w:rFonts w:hint="eastAsia" w:ascii="宋体" w:hAnsi="宋体" w:cs="Times New Roman"/>
                <w:kern w:val="2"/>
                <w:sz w:val="21"/>
                <w:szCs w:val="22"/>
                <w:lang w:val="en-US" w:eastAsia="zh-CN" w:bidi="ar-SA"/>
              </w:rPr>
              <w:t>记录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》，平时的操作能够按照标准进行操作。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211195" cy="2409190"/>
                  <wp:effectExtent l="0" t="0" r="1905" b="3810"/>
                  <wp:docPr id="4" name="图片 4" descr="6acbc37cb581363421afc6afc0888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acbc37cb581363421afc6afc08884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195" cy="240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设备维护保养的情况：</w:t>
            </w:r>
          </w:p>
          <w:p>
            <w:pPr>
              <w:tabs>
                <w:tab w:val="left" w:pos="1660"/>
                <w:tab w:val="center" w:pos="7286"/>
              </w:tabs>
              <w:spacing w:line="400" w:lineRule="exact"/>
              <w:jc w:val="both"/>
              <w:textAlignment w:val="baseline"/>
              <w:rPr>
                <w:rFonts w:hint="eastAsia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提供《设备维护保养规程》和《设备保养计划》并提供《设备维护保养检查表》、《设备检查表》：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生产设备保养良好</w:t>
            </w:r>
          </w:p>
        </w:tc>
        <w:tc>
          <w:tcPr>
            <w:tcW w:w="884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不符合纠正/持续改进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En10.1/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10.2</w:t>
            </w:r>
          </w:p>
        </w:tc>
        <w:tc>
          <w:tcPr>
            <w:tcW w:w="10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color w:val="0000FF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0000FF"/>
                <w:szCs w:val="22"/>
                <w:lang w:val="en-US" w:eastAsia="zh-CN"/>
              </w:rPr>
              <w:t>经检查发现，</w:t>
            </w:r>
            <w:r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有上述指标来看，2020年、2021年1-8月份，单位产品能耗已经高于目标值，需要进行原因分析，并制定节能措施。</w:t>
            </w:r>
            <w:r>
              <w:rPr>
                <w:rFonts w:hint="eastAsia" w:cs="Times New Roman"/>
                <w:color w:val="0000FF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内审不符合项：</w:t>
            </w:r>
            <w:r>
              <w:rPr>
                <w:rFonts w:hint="eastAsia" w:cs="Times New Roman"/>
                <w:color w:val="auto"/>
                <w:szCs w:val="22"/>
                <w:lang w:val="en-US" w:eastAsia="zh-CN"/>
              </w:rPr>
              <w:t>内部审核发现1个不符合项，已经整改完毕，并制定了纠正措施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val="en-US" w:eastAsia="zh-CN"/>
              </w:rPr>
              <w:t>现场验证：纠正措施有效。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  <w:tc>
          <w:tcPr>
            <w:tcW w:w="884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</w:tbl>
    <w:p>
      <w:pPr>
        <w:pStyle w:val="2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/>
    <w:p>
      <w:pPr>
        <w:pStyle w:val="7"/>
      </w:pPr>
    </w:p>
    <w:p>
      <w:pPr>
        <w:pStyle w:val="7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8C1E2"/>
    <w:multiLevelType w:val="singleLevel"/>
    <w:tmpl w:val="8CF8C1E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FCE0DA"/>
    <w:multiLevelType w:val="singleLevel"/>
    <w:tmpl w:val="05FCE0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D91676"/>
    <w:multiLevelType w:val="singleLevel"/>
    <w:tmpl w:val="23D916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87C4961"/>
    <w:multiLevelType w:val="singleLevel"/>
    <w:tmpl w:val="387C49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B4D08ED"/>
    <w:rsid w:val="0D502897"/>
    <w:rsid w:val="0D8C3068"/>
    <w:rsid w:val="0E9D36FE"/>
    <w:rsid w:val="0EC22237"/>
    <w:rsid w:val="10024BD4"/>
    <w:rsid w:val="108219C2"/>
    <w:rsid w:val="153F1A43"/>
    <w:rsid w:val="18E0378C"/>
    <w:rsid w:val="1B635529"/>
    <w:rsid w:val="1D2F1751"/>
    <w:rsid w:val="1E92443A"/>
    <w:rsid w:val="1F303612"/>
    <w:rsid w:val="22F3151F"/>
    <w:rsid w:val="23F57CAA"/>
    <w:rsid w:val="25302F06"/>
    <w:rsid w:val="25726879"/>
    <w:rsid w:val="25EB4780"/>
    <w:rsid w:val="265042EE"/>
    <w:rsid w:val="29550A82"/>
    <w:rsid w:val="2B882F6D"/>
    <w:rsid w:val="2C615A70"/>
    <w:rsid w:val="2CB52A35"/>
    <w:rsid w:val="2D5D32D6"/>
    <w:rsid w:val="2FDA7696"/>
    <w:rsid w:val="3414352C"/>
    <w:rsid w:val="366F12A2"/>
    <w:rsid w:val="37022033"/>
    <w:rsid w:val="38F903D7"/>
    <w:rsid w:val="397A1146"/>
    <w:rsid w:val="3E500208"/>
    <w:rsid w:val="3E50127C"/>
    <w:rsid w:val="3FD87230"/>
    <w:rsid w:val="435D7392"/>
    <w:rsid w:val="451658FE"/>
    <w:rsid w:val="48EE64E2"/>
    <w:rsid w:val="49593373"/>
    <w:rsid w:val="49907112"/>
    <w:rsid w:val="5062731F"/>
    <w:rsid w:val="51B355DC"/>
    <w:rsid w:val="51CB0431"/>
    <w:rsid w:val="542C577A"/>
    <w:rsid w:val="547E3A1D"/>
    <w:rsid w:val="56686FBC"/>
    <w:rsid w:val="56955064"/>
    <w:rsid w:val="5DD945F3"/>
    <w:rsid w:val="5EA12B9A"/>
    <w:rsid w:val="60A703C5"/>
    <w:rsid w:val="665253F3"/>
    <w:rsid w:val="66957D31"/>
    <w:rsid w:val="6A997D30"/>
    <w:rsid w:val="6B2F5168"/>
    <w:rsid w:val="6B317C7C"/>
    <w:rsid w:val="6B651E3A"/>
    <w:rsid w:val="6C3312C7"/>
    <w:rsid w:val="70F503F3"/>
    <w:rsid w:val="75532C29"/>
    <w:rsid w:val="75DB6E4E"/>
    <w:rsid w:val="76705E2D"/>
    <w:rsid w:val="788C0C63"/>
    <w:rsid w:val="790565FF"/>
    <w:rsid w:val="7AEC0F33"/>
    <w:rsid w:val="7CDA1273"/>
    <w:rsid w:val="7F836C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5">
    <w:name w:val="Plain Text"/>
    <w:basedOn w:val="1"/>
    <w:unhideWhenUsed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21"/>
      <w:szCs w:val="2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2021-09-14T14:28:54Z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A2A87B4AA3C04090A0C757B97B7400CA</vt:lpwstr>
  </property>
</Properties>
</file>