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0942-2021-EnMs</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成都虹波实业股份有限公司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7" w:name="审核日期"/>
            <w:r>
              <w:rPr>
                <w:rFonts w:hint="eastAsia" w:ascii="宋体"/>
                <w:b/>
                <w:color w:val="000000"/>
                <w:szCs w:val="21"/>
              </w:rPr>
              <w:t>2021年09月05日 上午至2021年09月06日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r>
              <w:rPr>
                <w:rFonts w:hint="eastAsia" w:ascii="宋体" w:hAnsi="宋体"/>
                <w:b/>
                <w:color w:val="000000"/>
                <w:szCs w:val="21"/>
              </w:rPr>
              <w:t xml:space="preserve">  </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r>
              <w:rPr>
                <w:rFonts w:hint="eastAsia" w:ascii="宋体" w:hAnsi="宋体"/>
                <w:b/>
                <w:color w:val="000000"/>
                <w:szCs w:val="21"/>
              </w:rPr>
              <w:t xml:space="preserve">    </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 xml:space="preserve">ISO45001：2018 </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eastAsia="宋体" w:cs="Times New Roman"/>
                <w:b/>
                <w:sz w:val="21"/>
                <w:szCs w:val="21"/>
                <w:lang w:val="de-DE" w:eastAsia="zh-CN"/>
              </w:rPr>
              <w:t xml:space="preserve">RB/T </w:t>
            </w:r>
            <w:r>
              <w:rPr>
                <w:rFonts w:hint="default" w:ascii="宋体" w:hAnsi="宋体" w:eastAsia="宋体" w:cs="Times New Roman"/>
                <w:b/>
                <w:sz w:val="21"/>
                <w:szCs w:val="21"/>
                <w:lang w:eastAsia="zh-CN"/>
              </w:rPr>
              <w:fldChar w:fldCharType="begin"/>
            </w:r>
            <w:r>
              <w:rPr>
                <w:rFonts w:hint="default" w:ascii="宋体" w:hAnsi="宋体" w:eastAsia="宋体" w:cs="Times New Roman"/>
                <w:b/>
                <w:sz w:val="21"/>
                <w:szCs w:val="21"/>
                <w:lang w:eastAsia="zh-CN"/>
              </w:rPr>
              <w:instrText xml:space="preserve"> HYPERLINK "https://max.book118.com/html/2017/1019/137483715.shtm" \t "https://www.so.com/_blank" </w:instrText>
            </w:r>
            <w:r>
              <w:rPr>
                <w:rFonts w:hint="default" w:ascii="宋体" w:hAnsi="宋体" w:eastAsia="宋体" w:cs="Times New Roman"/>
                <w:b/>
                <w:sz w:val="21"/>
                <w:szCs w:val="21"/>
                <w:lang w:eastAsia="zh-CN"/>
              </w:rPr>
              <w:fldChar w:fldCharType="separate"/>
            </w:r>
            <w:r>
              <w:rPr>
                <w:rFonts w:hint="default" w:ascii="宋体" w:hAnsi="宋体" w:eastAsia="宋体" w:cs="Times New Roman"/>
                <w:b/>
                <w:sz w:val="21"/>
                <w:szCs w:val="21"/>
                <w:lang w:eastAsia="zh-CN"/>
              </w:rPr>
              <w:t>117-2014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eastAsia="zh-CN"/>
              </w:rPr>
              <w:t>有色金属企业认证要求</w:t>
            </w:r>
            <w:r>
              <w:rPr>
                <w:rFonts w:hint="default" w:ascii="宋体" w:hAnsi="宋体" w:eastAsia="宋体" w:cs="Times New Roman"/>
                <w:b/>
                <w:sz w:val="21"/>
                <w:szCs w:val="21"/>
                <w:lang w:eastAsia="zh-CN"/>
              </w:rPr>
              <w:fldChar w:fldCharType="end"/>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 xml:space="preserve">现场审核   </w:t>
            </w:r>
            <w:r>
              <w:rPr>
                <w:rFonts w:hint="eastAsia" w:ascii="宋体"/>
                <w:b/>
                <w:color w:val="000000"/>
                <w:szCs w:val="21"/>
                <w:lang w:eastAsia="zh-CN"/>
              </w:rPr>
              <w:t>☑</w:t>
            </w:r>
            <w:r>
              <w:rPr>
                <w:rFonts w:hint="eastAsia" w:ascii="宋体"/>
                <w:b/>
                <w:color w:val="000000"/>
                <w:szCs w:val="21"/>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t>成都市龙泉驿区成都经济技术开发区南京路198号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□手持设备 </w:t>
            </w:r>
            <w:r>
              <w:rPr>
                <w:rFonts w:hint="eastAsia" w:ascii="宋体"/>
                <w:b/>
                <w:color w:val="0000FF"/>
                <w:szCs w:val="21"/>
                <w:lang w:eastAsia="zh-CN"/>
              </w:rPr>
              <w:t>☑</w:t>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2018-N1EnMS-1072033</w:t>
            </w:r>
          </w:p>
        </w:tc>
        <w:tc>
          <w:tcPr>
            <w:tcW w:w="1140" w:type="dxa"/>
            <w:vAlign w:val="center"/>
          </w:tcPr>
          <w:p>
            <w:pPr>
              <w:spacing w:line="240" w:lineRule="exact"/>
              <w:jc w:val="center"/>
              <w:rPr>
                <w:b/>
                <w:color w:val="000000"/>
                <w:szCs w:val="21"/>
              </w:rPr>
            </w:pPr>
            <w:r>
              <w:rPr>
                <w:b/>
                <w:color w:val="000000"/>
                <w:szCs w:val="21"/>
              </w:rPr>
              <w:t>2.2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242"/>
        <w:gridCol w:w="108"/>
        <w:gridCol w:w="64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color w:val="000000"/>
                <w:szCs w:val="21"/>
              </w:rPr>
              <w:t>成都虹波实业股份有限公司</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color w:val="000000"/>
                <w:szCs w:val="21"/>
              </w:rPr>
              <w:t>成都市龙泉驿区成都经济技术开发区南京路198号</w:t>
            </w:r>
            <w:bookmarkEnd w:id="20"/>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3"/>
          </w:tcPr>
          <w:p>
            <w:pPr>
              <w:spacing w:line="280" w:lineRule="exact"/>
              <w:rPr>
                <w:rFonts w:ascii="宋体"/>
                <w:b/>
                <w:color w:val="000000"/>
                <w:szCs w:val="21"/>
              </w:rPr>
            </w:pPr>
            <w:bookmarkStart w:id="21" w:name="注册邮编"/>
            <w:r>
              <w:rPr>
                <w:rFonts w:ascii="宋体"/>
                <w:b/>
                <w:color w:val="000000"/>
                <w:szCs w:val="21"/>
              </w:rPr>
              <w:t>610000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办公地址"/>
            <w:r>
              <w:rPr>
                <w:rFonts w:ascii="宋体"/>
                <w:b/>
                <w:color w:val="000000"/>
                <w:szCs w:val="21"/>
              </w:rPr>
              <w:t>四川省成都市龙泉驿区成都经济技术开发区南京路198号</w:t>
            </w:r>
            <w:bookmarkEnd w:id="22"/>
          </w:p>
        </w:tc>
        <w:tc>
          <w:tcPr>
            <w:tcW w:w="1242" w:type="dxa"/>
            <w:vMerge w:val="continue"/>
            <w:vAlign w:val="center"/>
          </w:tcPr>
          <w:p>
            <w:pPr>
              <w:spacing w:line="280" w:lineRule="exact"/>
              <w:jc w:val="center"/>
              <w:rPr>
                <w:rFonts w:ascii="宋体"/>
                <w:b/>
                <w:color w:val="000000"/>
                <w:szCs w:val="21"/>
              </w:rPr>
            </w:pPr>
          </w:p>
        </w:tc>
        <w:tc>
          <w:tcPr>
            <w:tcW w:w="1771" w:type="dxa"/>
            <w:gridSpan w:val="3"/>
          </w:tcPr>
          <w:p>
            <w:pPr>
              <w:spacing w:line="280" w:lineRule="exact"/>
              <w:rPr>
                <w:rFonts w:ascii="宋体"/>
                <w:b/>
                <w:color w:val="000000"/>
                <w:szCs w:val="21"/>
              </w:rPr>
            </w:pPr>
            <w:bookmarkStart w:id="23" w:name="办公邮编"/>
            <w:r>
              <w:rPr>
                <w:rFonts w:ascii="宋体"/>
                <w:b/>
                <w:color w:val="000000"/>
                <w:szCs w:val="21"/>
              </w:rPr>
              <w:t>610000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王劲松</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13880163921</w:t>
            </w:r>
            <w:bookmarkEnd w:id="25"/>
          </w:p>
        </w:tc>
        <w:tc>
          <w:tcPr>
            <w:tcW w:w="1242"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3"/>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李明琪</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王劲松</w:t>
            </w:r>
            <w:bookmarkEnd w:id="28"/>
          </w:p>
        </w:tc>
        <w:tc>
          <w:tcPr>
            <w:tcW w:w="1242" w:type="dxa"/>
          </w:tcPr>
          <w:p>
            <w:pPr>
              <w:jc w:val="center"/>
              <w:rPr>
                <w:rFonts w:ascii="宋体"/>
                <w:b/>
                <w:color w:val="000000"/>
                <w:szCs w:val="21"/>
              </w:rPr>
            </w:pPr>
            <w:r>
              <w:rPr>
                <w:rFonts w:hint="eastAsia" w:ascii="宋体"/>
                <w:b/>
                <w:color w:val="000000"/>
                <w:szCs w:val="21"/>
              </w:rPr>
              <w:t>邮箱</w:t>
            </w:r>
          </w:p>
        </w:tc>
        <w:tc>
          <w:tcPr>
            <w:tcW w:w="1771" w:type="dxa"/>
            <w:gridSpan w:val="3"/>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b w:val="0"/>
                <w:bCs/>
                <w:color w:val="000000"/>
                <w:szCs w:val="21"/>
              </w:rPr>
              <w:t>钼粉制造部：二氧化钼，钼粉。丝材：各种规格钼丝（钼杆，粗钼丝，细钼丝）。制品制造部：各种规格形状的钨制品、钼制品。特材生产部：丝材（钼杆，钨杆，粗钼丝，粗钨丝，细钼丝，细钨丝，复合丝），杆材，带材，特种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highlight w:val="none"/>
              </w:rPr>
              <w:t>生产/服务提供流程简图</w:t>
            </w: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lang w:val="en-US" w:eastAsia="zh-CN"/>
              </w:rPr>
              <w:t>1、</w:t>
            </w:r>
            <w:r>
              <w:rPr>
                <w:rFonts w:hint="eastAsia" w:ascii="宋体"/>
                <w:color w:val="000000"/>
                <w:szCs w:val="21"/>
              </w:rPr>
              <w:t>钼/钨的氧化物——经还原——钼/钨粉——经压制烧结——钼/钨金属烧结制品（包括钼/钨棒、钼/钨板、异形件、特种合金等）钼/钨金属烧结制品可继续深加工</w:t>
            </w:r>
          </w:p>
          <w:p>
            <w:pPr>
              <w:tabs>
                <w:tab w:val="left" w:pos="360"/>
              </w:tabs>
              <w:ind w:left="360" w:hanging="360"/>
              <w:rPr>
                <w:rFonts w:hint="eastAsia" w:ascii="宋体"/>
                <w:color w:val="000000"/>
                <w:szCs w:val="21"/>
              </w:rPr>
            </w:pPr>
            <w:r>
              <w:rPr>
                <w:rFonts w:hint="eastAsia" w:ascii="宋体"/>
                <w:color w:val="000000"/>
                <w:szCs w:val="21"/>
                <w:lang w:val="en-US" w:eastAsia="zh-CN"/>
              </w:rPr>
              <w:t>2、</w:t>
            </w:r>
            <w:r>
              <w:rPr>
                <w:rFonts w:hint="eastAsia" w:ascii="宋体"/>
                <w:color w:val="000000"/>
                <w:szCs w:val="21"/>
              </w:rPr>
              <w:t>钼/钨棒­——经加工——钼/钨杆——经加工——钼/钨丝——经复合——复合金属</w:t>
            </w:r>
          </w:p>
          <w:p>
            <w:pPr>
              <w:tabs>
                <w:tab w:val="left" w:pos="360"/>
              </w:tabs>
              <w:ind w:left="360" w:hanging="360"/>
              <w:rPr>
                <w:rFonts w:ascii="宋体"/>
                <w:color w:val="000000"/>
                <w:szCs w:val="21"/>
              </w:rPr>
            </w:pPr>
            <w:r>
              <w:rPr>
                <w:rFonts w:hint="eastAsia" w:ascii="宋体"/>
                <w:color w:val="000000"/>
                <w:szCs w:val="21"/>
                <w:lang w:val="en-US" w:eastAsia="zh-CN"/>
              </w:rPr>
              <w:t>3、</w:t>
            </w:r>
            <w:r>
              <w:rPr>
                <w:rFonts w:hint="eastAsia" w:ascii="宋体"/>
                <w:color w:val="000000"/>
                <w:szCs w:val="21"/>
              </w:rPr>
              <w:t>钼/钨板­——经加工——钼/钨箔­——经加工——钼/钨带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395" w:type="dxa"/>
            <w:gridSpan w:val="5"/>
            <w:vAlign w:val="center"/>
          </w:tcPr>
          <w:p>
            <w:pPr>
              <w:spacing w:line="400" w:lineRule="exact"/>
              <w:rPr>
                <w:rFonts w:ascii="宋体" w:hAnsi="宋体"/>
                <w:b/>
                <w:color w:val="000000"/>
                <w:szCs w:val="21"/>
              </w:rPr>
            </w:pPr>
          </w:p>
        </w:tc>
        <w:tc>
          <w:tcPr>
            <w:tcW w:w="1663" w:type="dxa"/>
            <w:gridSpan w:val="2"/>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395" w:type="dxa"/>
            <w:gridSpan w:val="5"/>
            <w:vAlign w:val="center"/>
          </w:tcPr>
          <w:p>
            <w:pPr>
              <w:spacing w:line="400" w:lineRule="exact"/>
              <w:rPr>
                <w:rFonts w:ascii="宋体" w:hAnsi="宋体"/>
                <w:b/>
                <w:color w:val="000000"/>
                <w:szCs w:val="21"/>
              </w:rPr>
            </w:pPr>
          </w:p>
        </w:tc>
        <w:tc>
          <w:tcPr>
            <w:tcW w:w="166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395" w:type="dxa"/>
            <w:gridSpan w:val="5"/>
            <w:vAlign w:val="center"/>
          </w:tcPr>
          <w:p>
            <w:pPr>
              <w:spacing w:line="400" w:lineRule="exact"/>
              <w:rPr>
                <w:rFonts w:ascii="宋体" w:hAnsi="宋体"/>
                <w:b/>
                <w:color w:val="000000"/>
                <w:szCs w:val="21"/>
              </w:rPr>
            </w:pPr>
          </w:p>
        </w:tc>
        <w:tc>
          <w:tcPr>
            <w:tcW w:w="166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395" w:type="dxa"/>
            <w:gridSpan w:val="5"/>
            <w:vAlign w:val="center"/>
          </w:tcPr>
          <w:p>
            <w:pPr>
              <w:spacing w:line="400" w:lineRule="exact"/>
              <w:rPr>
                <w:rFonts w:ascii="宋体" w:hAnsi="宋体"/>
                <w:b/>
                <w:color w:val="000000"/>
                <w:szCs w:val="21"/>
              </w:rPr>
            </w:pPr>
          </w:p>
        </w:tc>
        <w:tc>
          <w:tcPr>
            <w:tcW w:w="166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395" w:type="dxa"/>
            <w:gridSpan w:val="5"/>
            <w:vAlign w:val="center"/>
          </w:tcPr>
          <w:p>
            <w:pPr>
              <w:spacing w:line="400" w:lineRule="exact"/>
              <w:rPr>
                <w:rFonts w:ascii="宋体" w:hAnsi="宋体"/>
                <w:b/>
                <w:color w:val="000000"/>
                <w:szCs w:val="21"/>
              </w:rPr>
            </w:pPr>
          </w:p>
        </w:tc>
        <w:tc>
          <w:tcPr>
            <w:tcW w:w="166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395" w:type="dxa"/>
            <w:gridSpan w:val="5"/>
            <w:vAlign w:val="center"/>
          </w:tcPr>
          <w:p>
            <w:pPr>
              <w:spacing w:line="400" w:lineRule="exact"/>
              <w:rPr>
                <w:rFonts w:ascii="宋体" w:hAnsi="宋体"/>
                <w:b/>
                <w:color w:val="000000"/>
                <w:szCs w:val="21"/>
              </w:rPr>
            </w:pPr>
            <w:r>
              <w:rPr>
                <w:sz w:val="20"/>
              </w:rPr>
              <w:t>钨、钼</w:t>
            </w:r>
            <w:r>
              <w:rPr>
                <w:rFonts w:hint="eastAsia"/>
                <w:sz w:val="20"/>
              </w:rPr>
              <w:t>、复合金属</w:t>
            </w:r>
            <w:r>
              <w:rPr>
                <w:sz w:val="20"/>
              </w:rPr>
              <w:t>的设计、生产和售后服务所涉及的能源管理活动</w:t>
            </w:r>
          </w:p>
        </w:tc>
        <w:tc>
          <w:tcPr>
            <w:tcW w:w="1663" w:type="dxa"/>
            <w:gridSpan w:val="2"/>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395" w:type="dxa"/>
            <w:gridSpan w:val="5"/>
            <w:vAlign w:val="center"/>
          </w:tcPr>
          <w:p>
            <w:pPr>
              <w:spacing w:line="400" w:lineRule="exact"/>
              <w:rPr>
                <w:rFonts w:ascii="宋体" w:hAnsi="宋体"/>
                <w:b/>
                <w:color w:val="000000"/>
                <w:szCs w:val="21"/>
              </w:rPr>
            </w:pPr>
          </w:p>
        </w:tc>
        <w:tc>
          <w:tcPr>
            <w:tcW w:w="166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395" w:type="dxa"/>
            <w:gridSpan w:val="5"/>
            <w:vAlign w:val="center"/>
          </w:tcPr>
          <w:p>
            <w:pPr>
              <w:spacing w:line="400" w:lineRule="exact"/>
              <w:rPr>
                <w:rFonts w:ascii="宋体" w:hAnsi="宋体"/>
                <w:b/>
                <w:color w:val="000000"/>
                <w:szCs w:val="21"/>
              </w:rPr>
            </w:pPr>
          </w:p>
        </w:tc>
        <w:tc>
          <w:tcPr>
            <w:tcW w:w="166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395" w:type="dxa"/>
            <w:gridSpan w:val="5"/>
          </w:tcPr>
          <w:p>
            <w:pPr>
              <w:rPr>
                <w:rFonts w:ascii="宋体"/>
                <w:color w:val="000000"/>
                <w:szCs w:val="21"/>
              </w:rPr>
            </w:pPr>
            <w:r>
              <w:rPr>
                <w:rFonts w:hint="eastAsia" w:ascii="宋体" w:hAnsi="宋体"/>
                <w:color w:val="000000"/>
                <w:szCs w:val="21"/>
              </w:rPr>
              <w:t>现场产品与申请范围是否一致：</w:t>
            </w:r>
          </w:p>
        </w:tc>
        <w:tc>
          <w:tcPr>
            <w:tcW w:w="645"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395"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645"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现场有复合金属。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18"/>
                <w:szCs w:val="18"/>
              </w:rPr>
              <w:t>成都虹波实业股份有限公司</w:t>
            </w:r>
            <w:r>
              <w:rPr>
                <w:rFonts w:hint="eastAsia"/>
                <w:sz w:val="18"/>
                <w:szCs w:val="18"/>
                <w:lang w:val="en-US" w:eastAsia="zh-CN"/>
              </w:rPr>
              <w:t>/</w:t>
            </w:r>
            <w:r>
              <w:rPr>
                <w:sz w:val="18"/>
                <w:szCs w:val="18"/>
              </w:rPr>
              <w:t>成都市龙泉驿区成都经济技术开发区南京路198号</w:t>
            </w:r>
          </w:p>
        </w:tc>
        <w:tc>
          <w:tcPr>
            <w:tcW w:w="2267" w:type="dxa"/>
          </w:tcPr>
          <w:p>
            <w:pPr>
              <w:rPr>
                <w:lang w:val="de-DE" w:eastAsia="ja-JP"/>
              </w:rPr>
            </w:pPr>
            <w:r>
              <w:rPr>
                <w:sz w:val="18"/>
                <w:szCs w:val="18"/>
              </w:rPr>
              <w:t>成都市龙泉驿区成都经济技术开发区南京路198号</w:t>
            </w:r>
          </w:p>
        </w:tc>
        <w:tc>
          <w:tcPr>
            <w:tcW w:w="571" w:type="dxa"/>
            <w:vAlign w:val="center"/>
          </w:tcPr>
          <w:p>
            <w:pPr>
              <w:rPr>
                <w:rFonts w:hint="default" w:eastAsia="宋体"/>
                <w:lang w:val="en-US" w:eastAsia="zh-CN"/>
              </w:rPr>
            </w:pPr>
            <w:r>
              <w:rPr>
                <w:rFonts w:hint="eastAsia"/>
                <w:lang w:val="en-US" w:eastAsia="zh-CN"/>
              </w:rPr>
              <w:t>110</w:t>
            </w:r>
          </w:p>
        </w:tc>
        <w:tc>
          <w:tcPr>
            <w:tcW w:w="2803" w:type="dxa"/>
            <w:vAlign w:val="center"/>
          </w:tcPr>
          <w:p>
            <w:pPr>
              <w:rPr>
                <w:sz w:val="18"/>
                <w:szCs w:val="18"/>
                <w:lang w:eastAsia="ja-JP"/>
              </w:rPr>
            </w:pPr>
            <w:r>
              <w:rPr>
                <w:sz w:val="20"/>
              </w:rPr>
              <w:t>钨、钼</w:t>
            </w:r>
            <w:r>
              <w:rPr>
                <w:rFonts w:hint="eastAsia"/>
                <w:sz w:val="20"/>
              </w:rPr>
              <w:t>、复合金属</w:t>
            </w:r>
            <w:r>
              <w:rPr>
                <w:sz w:val="20"/>
              </w:rPr>
              <w:t>的设计、生产和售后服务所涉及的能源管理活动</w:t>
            </w:r>
          </w:p>
        </w:tc>
        <w:tc>
          <w:tcPr>
            <w:tcW w:w="669" w:type="dxa"/>
            <w:vAlign w:val="center"/>
          </w:tcPr>
          <w:p>
            <w:pPr>
              <w:rPr>
                <w:rFonts w:hint="default"/>
                <w:sz w:val="18"/>
                <w:szCs w:val="18"/>
                <w:lang w:val="en-US" w:eastAsia="zh-CN"/>
              </w:rPr>
            </w:pPr>
            <w:r>
              <w:rPr>
                <w:rFonts w:hint="eastAsia"/>
                <w:sz w:val="18"/>
                <w:szCs w:val="18"/>
                <w:lang w:val="en-US" w:eastAsia="zh-CN"/>
              </w:rPr>
              <w:t>GB/T23331-2020</w:t>
            </w:r>
            <w:bookmarkStart w:id="32" w:name="_GoBack"/>
            <w:bookmarkEnd w:id="32"/>
          </w:p>
        </w:tc>
        <w:tc>
          <w:tcPr>
            <w:tcW w:w="668" w:type="dxa"/>
            <w:shd w:val="clear" w:color="auto" w:fill="FFFFFF"/>
          </w:tcPr>
          <w:p>
            <w:r>
              <w:rPr>
                <w:rFonts w:hint="eastAsia"/>
              </w:rPr>
              <w:t>☐</w:t>
            </w: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highlight w:val="yellow"/>
                <w:u w:val="single"/>
              </w:rPr>
              <w:t>于</w:t>
            </w:r>
            <w:r>
              <w:rPr>
                <w:rFonts w:hint="eastAsia" w:ascii="宋体" w:hAnsi="宋体"/>
                <w:b/>
                <w:color w:val="000000"/>
                <w:szCs w:val="21"/>
                <w:highlight w:val="yellow"/>
                <w:u w:val="single"/>
                <w:lang w:val="en-US" w:eastAsia="zh-CN"/>
              </w:rPr>
              <w:t>2021</w:t>
            </w:r>
            <w:r>
              <w:rPr>
                <w:rFonts w:hint="eastAsia" w:ascii="宋体" w:hAnsi="宋体"/>
                <w:b/>
                <w:color w:val="000000"/>
                <w:szCs w:val="21"/>
                <w:highlight w:val="yellow"/>
                <w:u w:val="single"/>
              </w:rPr>
              <w:t>年</w:t>
            </w:r>
            <w:r>
              <w:rPr>
                <w:rFonts w:hint="eastAsia" w:ascii="宋体" w:hAnsi="宋体"/>
                <w:b/>
                <w:color w:val="000000"/>
                <w:szCs w:val="21"/>
                <w:highlight w:val="yellow"/>
                <w:u w:val="single"/>
                <w:lang w:val="en-US" w:eastAsia="zh-CN"/>
              </w:rPr>
              <w:t>2</w:t>
            </w:r>
            <w:r>
              <w:rPr>
                <w:rFonts w:hint="eastAsia" w:ascii="宋体" w:hAnsi="宋体"/>
                <w:b/>
                <w:color w:val="000000"/>
                <w:szCs w:val="21"/>
                <w:highlight w:val="yellow"/>
                <w:u w:val="single"/>
              </w:rPr>
              <w:t>月</w:t>
            </w:r>
            <w:r>
              <w:rPr>
                <w:rFonts w:hint="eastAsia" w:ascii="宋体" w:hAnsi="宋体"/>
                <w:b/>
                <w:color w:val="000000"/>
                <w:szCs w:val="21"/>
                <w:highlight w:val="yellow"/>
                <w:u w:val="single"/>
                <w:lang w:val="en-US" w:eastAsia="zh-CN"/>
              </w:rPr>
              <w:t>1</w:t>
            </w:r>
            <w:r>
              <w:rPr>
                <w:rFonts w:hint="eastAsia" w:ascii="宋体" w:hAnsi="宋体"/>
                <w:b/>
                <w:color w:val="000000"/>
                <w:szCs w:val="21"/>
                <w:highlight w:val="yellow"/>
                <w:u w:val="single"/>
              </w:rPr>
              <w:t>日</w:t>
            </w:r>
            <w:r>
              <w:rPr>
                <w:rFonts w:hint="eastAsia" w:ascii="宋体" w:hAnsi="宋体"/>
                <w:b/>
                <w:color w:val="000000"/>
                <w:szCs w:val="21"/>
                <w:highlight w:val="yellow"/>
              </w:rPr>
              <w:t>起</w:t>
            </w:r>
            <w:r>
              <w:rPr>
                <w:rFonts w:hint="eastAsia" w:ascii="宋体" w:hAnsi="宋体"/>
                <w:b/>
                <w:color w:val="000000"/>
                <w:szCs w:val="21"/>
              </w:rPr>
              <w:t>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w:t>
            </w:r>
            <w:r>
              <w:rPr>
                <w:rFonts w:hint="eastAsia" w:ascii="宋体" w:hAnsi="宋体"/>
                <w:b/>
                <w:color w:val="000000"/>
                <w:szCs w:val="21"/>
                <w:highlight w:val="yellow"/>
              </w:rPr>
              <w:t>求于</w:t>
            </w:r>
            <w:r>
              <w:rPr>
                <w:rFonts w:hint="eastAsia" w:ascii="宋体" w:hAnsi="宋体"/>
                <w:b/>
                <w:color w:val="000000"/>
                <w:szCs w:val="21"/>
                <w:highlight w:val="yellow"/>
                <w:u w:val="single"/>
              </w:rPr>
              <w:t xml:space="preserve"> </w:t>
            </w:r>
            <w:r>
              <w:rPr>
                <w:rFonts w:hint="eastAsia" w:ascii="宋体" w:hAnsi="宋体"/>
                <w:b/>
                <w:color w:val="000000"/>
                <w:szCs w:val="21"/>
                <w:highlight w:val="yellow"/>
                <w:u w:val="single"/>
                <w:lang w:val="en-US" w:eastAsia="zh-CN"/>
              </w:rPr>
              <w:t>2021</w:t>
            </w:r>
            <w:r>
              <w:rPr>
                <w:rFonts w:hint="eastAsia" w:ascii="宋体" w:hAnsi="宋体"/>
                <w:b/>
                <w:color w:val="000000"/>
                <w:szCs w:val="21"/>
                <w:highlight w:val="yellow"/>
                <w:u w:val="single"/>
              </w:rPr>
              <w:t>年</w:t>
            </w:r>
            <w:r>
              <w:rPr>
                <w:rFonts w:hint="eastAsia" w:ascii="宋体" w:hAnsi="宋体"/>
                <w:b/>
                <w:color w:val="000000"/>
                <w:szCs w:val="21"/>
                <w:highlight w:val="yellow"/>
                <w:u w:val="single"/>
                <w:lang w:val="en-US" w:eastAsia="zh-CN"/>
              </w:rPr>
              <w:t>7</w:t>
            </w:r>
            <w:r>
              <w:rPr>
                <w:rFonts w:hint="eastAsia" w:ascii="宋体" w:hAnsi="宋体"/>
                <w:b/>
                <w:color w:val="000000"/>
                <w:szCs w:val="21"/>
                <w:highlight w:val="yellow"/>
                <w:u w:val="single"/>
              </w:rPr>
              <w:t xml:space="preserve">月 </w:t>
            </w:r>
            <w:r>
              <w:rPr>
                <w:rFonts w:hint="eastAsia" w:ascii="宋体" w:hAnsi="宋体"/>
                <w:b/>
                <w:color w:val="000000"/>
                <w:szCs w:val="21"/>
                <w:highlight w:val="yellow"/>
                <w:u w:val="single"/>
                <w:lang w:val="en-US" w:eastAsia="zh-CN"/>
              </w:rPr>
              <w:t>20</w:t>
            </w:r>
            <w:r>
              <w:rPr>
                <w:rFonts w:hint="eastAsia" w:ascii="宋体" w:hAnsi="宋体"/>
                <w:b/>
                <w:color w:val="000000"/>
                <w:szCs w:val="21"/>
                <w:highlight w:val="yellow"/>
                <w:u w:val="single"/>
              </w:rPr>
              <w:t>日</w:t>
            </w:r>
            <w:r>
              <w:rPr>
                <w:rFonts w:hint="eastAsia" w:ascii="宋体" w:hAnsi="宋体"/>
                <w:b/>
                <w:color w:val="000000"/>
                <w:szCs w:val="21"/>
                <w:highlight w:val="yellow"/>
              </w:rPr>
              <w:t>由有能力</w:t>
            </w:r>
            <w:r>
              <w:rPr>
                <w:rFonts w:hint="eastAsia" w:ascii="宋体" w:hAnsi="宋体"/>
                <w:b/>
                <w:color w:val="000000"/>
                <w:szCs w:val="21"/>
              </w:rPr>
              <w:t>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w:t>
            </w:r>
            <w:r>
              <w:rPr>
                <w:rFonts w:hint="eastAsia" w:ascii="宋体" w:hAnsi="宋体" w:eastAsia="宋体"/>
                <w:color w:val="000000"/>
                <w:sz w:val="21"/>
                <w:szCs w:val="21"/>
                <w:highlight w:val="yellow"/>
                <w:lang w:val="en-US" w:eastAsia="zh-CN"/>
              </w:rPr>
              <w:t>划于</w:t>
            </w:r>
            <w:r>
              <w:rPr>
                <w:rFonts w:hint="eastAsia" w:ascii="宋体" w:hAnsi="宋体" w:eastAsia="宋体"/>
                <w:color w:val="000000"/>
                <w:sz w:val="21"/>
                <w:szCs w:val="21"/>
                <w:highlight w:val="yellow"/>
                <w:u w:val="single"/>
                <w:lang w:val="en-US" w:eastAsia="zh-CN"/>
              </w:rPr>
              <w:t xml:space="preserve"> 2021年 7月30 日</w:t>
            </w:r>
            <w:r>
              <w:rPr>
                <w:rFonts w:hint="eastAsia" w:ascii="宋体" w:hAnsi="宋体" w:eastAsia="宋体"/>
                <w:color w:val="000000"/>
                <w:sz w:val="21"/>
                <w:szCs w:val="21"/>
                <w:highlight w:val="yellow"/>
                <w:lang w:val="en-US" w:eastAsia="zh-CN"/>
              </w:rPr>
              <w:t>完成管理</w:t>
            </w:r>
            <w:r>
              <w:rPr>
                <w:rFonts w:hint="eastAsia" w:ascii="宋体" w:hAnsi="宋体" w:eastAsia="宋体"/>
                <w:color w:val="000000"/>
                <w:sz w:val="21"/>
                <w:szCs w:val="21"/>
                <w:lang w:val="en-US" w:eastAsia="zh-CN"/>
              </w:rPr>
              <w:t>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ind w:left="260" w:leftChars="124"/>
        <w:rPr>
          <w:rFonts w:ascii="宋体" w:hAnsi="宋体"/>
          <w:b/>
          <w:color w:val="000000"/>
          <w:szCs w:val="21"/>
        </w:rPr>
      </w:pP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w:t>
            </w:r>
            <w:r>
              <w:rPr>
                <w:rFonts w:hint="eastAsia" w:ascii="宋体"/>
                <w:color w:val="000000"/>
                <w:szCs w:val="21"/>
                <w:lang w:eastAsia="zh-CN"/>
              </w:rPr>
              <w:t>☑</w:t>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w:t>
            </w:r>
            <w:r>
              <w:rPr>
                <w:rFonts w:hint="eastAsia" w:ascii="宋体"/>
                <w:color w:val="000000"/>
                <w:szCs w:val="21"/>
                <w:lang w:eastAsia="zh-CN"/>
              </w:rPr>
              <w:t>☑</w:t>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w:t>
            </w:r>
            <w:r>
              <w:rPr>
                <w:rFonts w:hint="eastAsia" w:ascii="宋体"/>
                <w:color w:val="000000"/>
                <w:szCs w:val="21"/>
                <w:lang w:eastAsia="zh-CN"/>
              </w:rPr>
              <w:t>☑</w:t>
            </w:r>
            <w:r>
              <w:rPr>
                <w:rFonts w:hint="eastAsia" w:ascii="宋体"/>
                <w:color w:val="000000"/>
                <w:szCs w:val="21"/>
              </w:rPr>
              <w:t>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 xml:space="preserve">是否接受了当地行政主管部门的检查，是否合规，  </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9" w:name="二阶段审核日期"/>
            <w:r>
              <w:rPr>
                <w:rFonts w:hint="eastAsia" w:ascii="宋体"/>
                <w:b/>
                <w:color w:val="000000"/>
                <w:szCs w:val="21"/>
                <w:u w:val="single"/>
              </w:rPr>
              <w:t>2021-09-0</w:t>
            </w:r>
            <w:bookmarkEnd w:id="29"/>
            <w:r>
              <w:rPr>
                <w:rFonts w:hint="eastAsia" w:ascii="宋体"/>
                <w:b/>
                <w:color w:val="000000"/>
                <w:szCs w:val="21"/>
                <w:u w:val="single"/>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6255"/>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6255" w:type="dxa"/>
            <w:vAlign w:val="center"/>
          </w:tcPr>
          <w:p>
            <w:pPr>
              <w:spacing w:line="400" w:lineRule="exact"/>
              <w:rPr>
                <w:rFonts w:ascii="宋体" w:hAnsi="宋体"/>
                <w:b/>
                <w:color w:val="000000"/>
                <w:szCs w:val="21"/>
              </w:rPr>
            </w:pPr>
          </w:p>
        </w:tc>
        <w:tc>
          <w:tcPr>
            <w:tcW w:w="112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6255" w:type="dxa"/>
            <w:vAlign w:val="center"/>
          </w:tcPr>
          <w:p>
            <w:pPr>
              <w:spacing w:line="400" w:lineRule="exact"/>
              <w:rPr>
                <w:rFonts w:ascii="宋体" w:hAnsi="宋体"/>
                <w:b/>
                <w:color w:val="000000"/>
                <w:szCs w:val="21"/>
              </w:rPr>
            </w:pPr>
          </w:p>
        </w:tc>
        <w:tc>
          <w:tcPr>
            <w:tcW w:w="11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55" w:type="dxa"/>
            <w:vAlign w:val="center"/>
          </w:tcPr>
          <w:p>
            <w:pPr>
              <w:spacing w:line="400" w:lineRule="exact"/>
              <w:rPr>
                <w:rFonts w:ascii="宋体" w:hAnsi="宋体"/>
                <w:b/>
                <w:color w:val="000000"/>
                <w:szCs w:val="21"/>
              </w:rPr>
            </w:pPr>
          </w:p>
        </w:tc>
        <w:tc>
          <w:tcPr>
            <w:tcW w:w="11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6255" w:type="dxa"/>
            <w:vAlign w:val="center"/>
          </w:tcPr>
          <w:p>
            <w:pPr>
              <w:spacing w:line="400" w:lineRule="exact"/>
              <w:rPr>
                <w:rFonts w:ascii="宋体" w:hAnsi="宋体"/>
                <w:b/>
                <w:color w:val="000000"/>
                <w:szCs w:val="21"/>
              </w:rPr>
            </w:pPr>
          </w:p>
        </w:tc>
        <w:tc>
          <w:tcPr>
            <w:tcW w:w="11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6255" w:type="dxa"/>
            <w:vAlign w:val="center"/>
          </w:tcPr>
          <w:p>
            <w:pPr>
              <w:spacing w:line="400" w:lineRule="exact"/>
              <w:rPr>
                <w:rFonts w:ascii="宋体" w:hAnsi="宋体"/>
                <w:b/>
                <w:color w:val="000000"/>
                <w:szCs w:val="21"/>
              </w:rPr>
            </w:pPr>
          </w:p>
        </w:tc>
        <w:tc>
          <w:tcPr>
            <w:tcW w:w="11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6255" w:type="dxa"/>
            <w:vAlign w:val="center"/>
          </w:tcPr>
          <w:p>
            <w:pPr>
              <w:spacing w:line="400" w:lineRule="exact"/>
              <w:rPr>
                <w:rFonts w:ascii="宋体" w:hAnsi="宋体"/>
                <w:b/>
                <w:color w:val="000000"/>
                <w:szCs w:val="21"/>
              </w:rPr>
            </w:pPr>
            <w:bookmarkStart w:id="30" w:name="审核范围"/>
            <w:r>
              <w:rPr>
                <w:sz w:val="20"/>
              </w:rPr>
              <w:t>钨、钼</w:t>
            </w:r>
            <w:r>
              <w:rPr>
                <w:rFonts w:hint="eastAsia"/>
                <w:sz w:val="20"/>
              </w:rPr>
              <w:t>、复合金属</w:t>
            </w:r>
            <w:r>
              <w:rPr>
                <w:sz w:val="20"/>
              </w:rPr>
              <w:t>的设计、生产和售后服务所涉及的能源管理活动</w:t>
            </w:r>
            <w:bookmarkEnd w:id="30"/>
          </w:p>
        </w:tc>
        <w:tc>
          <w:tcPr>
            <w:tcW w:w="1127" w:type="dxa"/>
            <w:vAlign w:val="center"/>
          </w:tcPr>
          <w:p>
            <w:pPr>
              <w:spacing w:line="400" w:lineRule="exact"/>
              <w:rPr>
                <w:rFonts w:ascii="宋体" w:hAnsi="宋体"/>
                <w:b/>
                <w:color w:val="000000"/>
                <w:szCs w:val="21"/>
              </w:rPr>
            </w:pPr>
            <w:bookmarkStart w:id="31" w:name="专业代码"/>
            <w:r>
              <w:rPr>
                <w:sz w:val="20"/>
              </w:rPr>
              <w:t>2.2</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6255" w:type="dxa"/>
            <w:vAlign w:val="center"/>
          </w:tcPr>
          <w:p>
            <w:pPr>
              <w:spacing w:line="400" w:lineRule="exact"/>
              <w:rPr>
                <w:rFonts w:ascii="宋体" w:hAnsi="宋体"/>
                <w:b/>
                <w:color w:val="000000"/>
                <w:szCs w:val="21"/>
              </w:rPr>
            </w:pPr>
          </w:p>
        </w:tc>
        <w:tc>
          <w:tcPr>
            <w:tcW w:w="11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255" w:type="dxa"/>
            <w:vAlign w:val="center"/>
          </w:tcPr>
          <w:p>
            <w:pPr>
              <w:spacing w:line="400" w:lineRule="exact"/>
              <w:rPr>
                <w:rFonts w:ascii="宋体" w:hAnsi="宋体"/>
                <w:b/>
                <w:color w:val="000000"/>
                <w:szCs w:val="21"/>
              </w:rPr>
            </w:pPr>
          </w:p>
        </w:tc>
        <w:tc>
          <w:tcPr>
            <w:tcW w:w="1127"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rPr>
        <w:drawing>
          <wp:anchor distT="0" distB="0" distL="114300" distR="114300" simplePos="0" relativeHeight="251661312" behindDoc="0" locked="0" layoutInCell="1" allowOverlap="1">
            <wp:simplePos x="0" y="0"/>
            <wp:positionH relativeFrom="column">
              <wp:posOffset>1850390</wp:posOffset>
            </wp:positionH>
            <wp:positionV relativeFrom="page">
              <wp:posOffset>3836670</wp:posOffset>
            </wp:positionV>
            <wp:extent cx="570230" cy="435610"/>
            <wp:effectExtent l="0" t="0" r="1270" b="8890"/>
            <wp:wrapSquare wrapText="bothSides"/>
            <wp:docPr id="6"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eastAsia="宋体"/>
          <w:b/>
          <w:color w:val="000000"/>
          <w:szCs w:val="21"/>
          <w:lang w:eastAsia="zh-CN"/>
        </w:rPr>
        <w:drawing>
          <wp:anchor distT="0" distB="0" distL="114300" distR="114300" simplePos="0" relativeHeight="251662336" behindDoc="0" locked="0" layoutInCell="1" allowOverlap="1">
            <wp:simplePos x="0" y="0"/>
            <wp:positionH relativeFrom="column">
              <wp:posOffset>3952240</wp:posOffset>
            </wp:positionH>
            <wp:positionV relativeFrom="paragraph">
              <wp:posOffset>276225</wp:posOffset>
            </wp:positionV>
            <wp:extent cx="639445" cy="445770"/>
            <wp:effectExtent l="0" t="0" r="8255" b="11430"/>
            <wp:wrapSquare wrapText="bothSides"/>
            <wp:docPr id="5" name="图片 5" descr="4cd2bf385bacdf8480838e9c8d9d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cd2bf385bacdf8480838e9c8d9d9be"/>
                    <pic:cNvPicPr>
                      <a:picLocks noChangeAspect="1"/>
                    </pic:cNvPicPr>
                  </pic:nvPicPr>
                  <pic:blipFill>
                    <a:blip r:embed="rId7">
                      <a:lum bright="24000"/>
                    </a:blip>
                    <a:stretch>
                      <a:fillRect/>
                    </a:stretch>
                  </pic:blipFill>
                  <pic:spPr>
                    <a:xfrm>
                      <a:off x="0" y="0"/>
                      <a:ext cx="639445" cy="44577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能源手册中各部门的职责与企业的实际稍有差异</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能源手册中没有生产工艺流程图</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6</w:t>
            </w:r>
            <w:r>
              <w:rPr>
                <w:rFonts w:hint="eastAsia"/>
                <w:b/>
                <w:color w:val="000000"/>
                <w:szCs w:val="21"/>
              </w:rPr>
              <w:t xml:space="preserve"> 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王劲松</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6</w:t>
            </w:r>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周涛</w:t>
            </w:r>
            <w:r>
              <w:rPr>
                <w:rFonts w:hint="eastAsia"/>
                <w:b/>
                <w:color w:val="000000"/>
                <w:szCs w:val="21"/>
              </w:rPr>
              <w:t xml:space="preserve">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B8D51F3"/>
    <w:rsid w:val="57C8674A"/>
    <w:rsid w:val="77D51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2</TotalTime>
  <ScaleCrop>false</ScaleCrop>
  <LinksUpToDate>false</LinksUpToDate>
  <CharactersWithSpaces>10901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2021-09-14T13:52:28Z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