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8"/>
        <w:gridCol w:w="124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成都虹波实业股份有限公司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2.2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 钼/钨的氧化物——经还原——钼/钨粉——经压制烧结——钼/钨金属烧结制品（包括钼/钨棒、钼/钨板、异形件、特种合金等）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钼/钨金属烧结制品可继续深加工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1钼/钨棒­——经加工——钼/钨杆——经加工——钼/钨丝——经复合——复合金属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2钼/钨板­——经加工——钼/钨箔­——经加工——钼/钨带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主要能源使用：电、天然气、水；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主要有参数：综合能耗kgce，单位产品综合能耗：kgce/kg。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《中华人民共和国节约能源法》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《中华人民共和国可再生能源法》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《中华人民共和国循环经济促进法》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《清洁生产促进法》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</w:rPr>
              <w:t>中华人民共和国水法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《中华人民共和国电力法》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中华人民共和国计量法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万家企业节能低碳行动实施方案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《中国节能技术政策大纲》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节能机电设备（产品）推荐目录（第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一~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七批）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能源计量监督管理办法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《节能监察办法》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《综合能耗计算通则》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用能单位能源计量器具配备和管理通则、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2021.9.4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8" w:name="_GoBack"/>
      <w:bookmarkEnd w:id="8"/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D ISC-B-I-06 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F9018B"/>
    <w:rsid w:val="7A7A54F2"/>
    <w:rsid w:val="7D744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2021-09-11T07:28:14Z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