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0941-2021-EnMs</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认证证书信息确认书</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14:textFill>
                  <w14:solidFill>
                    <w14:schemeClr w14:val="tx1"/>
                  </w14:solidFill>
                </w14:textFill>
              </w:rPr>
            </w:pPr>
            <w:bookmarkStart w:id="1" w:name="组织名称"/>
            <w:r>
              <w:rPr>
                <w:rFonts w:hint="eastAsia" w:eastAsia="隶书"/>
                <w:b/>
                <w:color w:val="000000" w:themeColor="text1"/>
                <w:sz w:val="22"/>
                <w:szCs w:val="22"/>
                <w14:textFill>
                  <w14:solidFill>
                    <w14:schemeClr w14:val="tx1"/>
                  </w14:solidFill>
                </w14:textFill>
              </w:rPr>
              <w:t>成都联虹钼业有限公司</w:t>
            </w:r>
            <w:bookmarkEnd w:id="1"/>
          </w:p>
        </w:tc>
        <w:tc>
          <w:tcPr>
            <w:tcW w:w="1370"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14:textFill>
                  <w14:solidFill>
                    <w14:schemeClr w14:val="tx1"/>
                  </w14:solidFill>
                </w14:textFill>
              </w:rPr>
            </w:pPr>
            <w:bookmarkStart w:id="2" w:name="总组长"/>
            <w:r>
              <w:rPr>
                <w:rFonts w:hint="eastAsia" w:eastAsia="隶书"/>
                <w:b/>
                <w:color w:val="000000" w:themeColor="text1"/>
                <w:sz w:val="22"/>
                <w:szCs w:val="22"/>
                <w14:textFill>
                  <w14:solidFill>
                    <w14:schemeClr w14:val="tx1"/>
                  </w14:solidFill>
                </w14:textFill>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rFonts w:hint="eastAsia"/>
                <w:sz w:val="22"/>
                <w:szCs w:val="22"/>
              </w:rPr>
              <w:t>915101127323502333</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E勾选"/>
            <w:r>
              <w:rPr>
                <w:rFonts w:hint="eastAsia"/>
                <w:sz w:val="22"/>
                <w:szCs w:val="22"/>
              </w:rPr>
              <w:t>□</w:t>
            </w:r>
            <w:bookmarkEnd w:id="6"/>
            <w:r>
              <w:rPr>
                <w:rFonts w:hint="eastAsia"/>
                <w:sz w:val="22"/>
                <w:szCs w:val="22"/>
              </w:rPr>
              <w:t xml:space="preserve"> GB/T 24001-2016 idt ISO 14001:2015标准；</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45001:2018标准；</w:t>
            </w:r>
          </w:p>
          <w:p>
            <w:pPr>
              <w:snapToGrid w:val="0"/>
              <w:spacing w:line="0" w:lineRule="atLeast"/>
              <w:jc w:val="left"/>
              <w:rPr>
                <w:sz w:val="22"/>
                <w:szCs w:val="22"/>
              </w:rPr>
            </w:pPr>
            <w:r>
              <w:rPr>
                <w:rFonts w:hint="eastAsia"/>
                <w:sz w:val="22"/>
                <w:szCs w:val="22"/>
              </w:rPr>
              <w:t>☑ GB/T 23331-2020 idt ISO 50001:2018标准；</w:t>
            </w:r>
          </w:p>
          <w:p>
            <w:pPr>
              <w:snapToGrid w:val="0"/>
              <w:spacing w:line="0" w:lineRule="atLeast"/>
              <w:jc w:val="left"/>
              <w:rPr>
                <w:sz w:val="22"/>
                <w:szCs w:val="22"/>
              </w:rPr>
            </w:pPr>
            <w:r>
              <w:rPr>
                <w:rFonts w:hint="eastAsia"/>
                <w:sz w:val="22"/>
                <w:szCs w:val="22"/>
                <w:lang w:eastAsia="zh-CN"/>
              </w:rPr>
              <w:t>☑</w:t>
            </w:r>
            <w:r>
              <w:rPr>
                <w:rFonts w:hint="eastAsia"/>
                <w:sz w:val="22"/>
                <w:szCs w:val="22"/>
              </w:rPr>
              <w:t xml:space="preserve">RB/T </w:t>
            </w:r>
            <w:r>
              <w:rPr>
                <w:rFonts w:hint="eastAsia"/>
                <w:sz w:val="22"/>
                <w:szCs w:val="22"/>
              </w:rPr>
              <w:fldChar w:fldCharType="begin"/>
            </w:r>
            <w:r>
              <w:rPr>
                <w:rFonts w:hint="eastAsia"/>
                <w:sz w:val="22"/>
                <w:szCs w:val="22"/>
              </w:rPr>
              <w:instrText xml:space="preserve"> HYPERLINK "https://max.book118.com/html/2017/1019/137483715.shtm" \t "https://www.so.com/_blank" </w:instrText>
            </w:r>
            <w:r>
              <w:rPr>
                <w:rFonts w:hint="eastAsia"/>
                <w:sz w:val="22"/>
                <w:szCs w:val="22"/>
              </w:rPr>
              <w:fldChar w:fldCharType="separate"/>
            </w:r>
            <w:r>
              <w:rPr>
                <w:rFonts w:hint="eastAsia"/>
                <w:sz w:val="22"/>
                <w:szCs w:val="22"/>
              </w:rPr>
              <w:t>117-2014 能源管理体系 有色金属企业认证要求</w:t>
            </w:r>
            <w:r>
              <w:rPr>
                <w:rFonts w:hint="eastAsia"/>
                <w:sz w:val="22"/>
                <w:szCs w:val="22"/>
              </w:rPr>
              <w:fldChar w:fldCharType="end"/>
            </w:r>
            <w:r>
              <w:rPr>
                <w:rFonts w:hint="eastAsia"/>
                <w:sz w:val="22"/>
                <w:szCs w:val="22"/>
              </w:rPr>
              <w:t xml:space="preserve">                    </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8" w:name="体系人数"/>
            <w:r>
              <w:rPr>
                <w:rFonts w:hint="eastAsia"/>
                <w:sz w:val="22"/>
                <w:szCs w:val="22"/>
              </w:rPr>
              <w:t>1</w:t>
            </w:r>
            <w:r>
              <w:rPr>
                <w:rFonts w:hint="eastAsia"/>
                <w:sz w:val="22"/>
                <w:szCs w:val="22"/>
                <w:lang w:val="en-US" w:eastAsia="zh-CN"/>
              </w:rPr>
              <w:t>0</w:t>
            </w:r>
            <w:r>
              <w:rPr>
                <w:rFonts w:hint="eastAsia"/>
                <w:sz w:val="22"/>
                <w:szCs w:val="22"/>
              </w:rPr>
              <w:t>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4"/>
              <w:spacing w:line="400" w:lineRule="exact"/>
              <w:ind w:firstLine="0"/>
              <w:rPr>
                <w:sz w:val="22"/>
                <w:szCs w:val="22"/>
              </w:rPr>
            </w:pPr>
            <w:bookmarkStart w:id="9" w:name="初审"/>
            <w:r>
              <w:rPr>
                <w:rFonts w:hint="eastAsia"/>
                <w:b/>
                <w:color w:val="000000" w:themeColor="text1"/>
                <w:spacing w:val="-2"/>
                <w:sz w:val="21"/>
                <w:szCs w:val="21"/>
                <w14:textFill>
                  <w14:solidFill>
                    <w14:schemeClr w14:val="tx1"/>
                  </w14:solidFill>
                </w14:textFill>
              </w:rPr>
              <w:t>■</w:t>
            </w:r>
            <w:bookmarkEnd w:id="9"/>
            <w:r>
              <w:rPr>
                <w:rFonts w:hint="eastAsia"/>
                <w:b/>
                <w:color w:val="000000" w:themeColor="text1"/>
                <w:spacing w:val="-2"/>
                <w:sz w:val="21"/>
                <w:szCs w:val="21"/>
                <w14:textFill>
                  <w14:solidFill>
                    <w14:schemeClr w14:val="tx1"/>
                  </w14:solidFill>
                </w14:textFill>
              </w:rPr>
              <w:t xml:space="preserve">初次认证  </w:t>
            </w:r>
            <w:bookmarkStart w:id="10" w:name="监督勾选"/>
            <w:r>
              <w:rPr>
                <w:rFonts w:hint="eastAsia"/>
                <w:b/>
                <w:color w:val="000000" w:themeColor="text1"/>
                <w:spacing w:val="-2"/>
                <w:sz w:val="21"/>
                <w:szCs w:val="21"/>
                <w14:textFill>
                  <w14:solidFill>
                    <w14:schemeClr w14:val="tx1"/>
                  </w14:solidFill>
                </w14:textFill>
              </w:rPr>
              <w:t>□</w:t>
            </w:r>
            <w:bookmarkEnd w:id="10"/>
            <w:r>
              <w:rPr>
                <w:rFonts w:hint="eastAsia"/>
                <w:b/>
                <w:color w:val="000000" w:themeColor="text1"/>
                <w:spacing w:val="-2"/>
                <w:sz w:val="21"/>
                <w:szCs w:val="21"/>
                <w14:textFill>
                  <w14:solidFill>
                    <w14:schemeClr w14:val="tx1"/>
                  </w14:solidFill>
                </w14:textFill>
              </w:rPr>
              <w:t xml:space="preserve">监督审核  </w:t>
            </w:r>
            <w:bookmarkStart w:id="11" w:name="再认证勾选"/>
            <w:r>
              <w:rPr>
                <w:rFonts w:hint="eastAsia"/>
                <w:b/>
                <w:color w:val="000000" w:themeColor="text1"/>
                <w:spacing w:val="-2"/>
                <w:sz w:val="21"/>
                <w:szCs w:val="21"/>
                <w14:textFill>
                  <w14:solidFill>
                    <w14:schemeClr w14:val="tx1"/>
                  </w14:solidFill>
                </w14:textFill>
              </w:rPr>
              <w:t>□</w:t>
            </w:r>
            <w:bookmarkEnd w:id="11"/>
            <w:r>
              <w:rPr>
                <w:rFonts w:hint="eastAsia"/>
                <w:b/>
                <w:color w:val="000000" w:themeColor="text1"/>
                <w:spacing w:val="-2"/>
                <w:sz w:val="21"/>
                <w:szCs w:val="21"/>
                <w14:textFill>
                  <w14:solidFill>
                    <w14:schemeClr w14:val="tx1"/>
                  </w14:solidFill>
                </w14:textFill>
              </w:rPr>
              <w:t xml:space="preserve">再认证 </w:t>
            </w:r>
            <w:bookmarkStart w:id="12" w:name="特殊审核勾选"/>
            <w:r>
              <w:rPr>
                <w:rFonts w:hint="eastAsia"/>
                <w:b/>
                <w:color w:val="000000" w:themeColor="text1"/>
                <w:spacing w:val="-2"/>
                <w:sz w:val="21"/>
                <w:szCs w:val="21"/>
                <w14:textFill>
                  <w14:solidFill>
                    <w14:schemeClr w14:val="tx1"/>
                  </w14:solidFill>
                </w14:textFill>
              </w:rPr>
              <w:t>□</w:t>
            </w:r>
            <w:bookmarkEnd w:id="12"/>
            <w:r>
              <w:rPr>
                <w:rFonts w:hint="eastAsia"/>
                <w:b/>
                <w:color w:val="000000" w:themeColor="text1"/>
                <w:spacing w:val="-2"/>
                <w:sz w:val="21"/>
                <w:szCs w:val="21"/>
                <w14:textFill>
                  <w14:solidFill>
                    <w14:schemeClr w14:val="tx1"/>
                  </w14:solidFill>
                </w14:textFill>
              </w:rPr>
              <w:t>特殊审核  □换证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4"/>
              <w:spacing w:line="360" w:lineRule="exact"/>
              <w:ind w:firstLine="0"/>
              <w:rPr>
                <w:b/>
                <w:color w:val="000000" w:themeColor="text1"/>
                <w:spacing w:val="-2"/>
                <w:sz w:val="21"/>
                <w:szCs w:val="21"/>
                <w14:textFill>
                  <w14:solidFill>
                    <w14:schemeClr w14:val="tx1"/>
                  </w14:solidFill>
                </w14:textFill>
              </w:rPr>
            </w:pPr>
            <w:r>
              <w:rPr>
                <w:rFonts w:hint="eastAsia"/>
                <w:b/>
                <w:color w:val="000000" w:themeColor="text1"/>
                <w:sz w:val="22"/>
                <w:szCs w:val="22"/>
                <w14:textFill>
                  <w14:solidFill>
                    <w14:schemeClr w14:val="tx1"/>
                  </w14:solidFill>
                </w14:textFill>
              </w:rPr>
              <w:t>□组织名称变更  □地址变更  □认证范围变更（□扩大□缩小）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5"/>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3" w:name="组织名称Add1"/>
            <w:r>
              <w:rPr>
                <w:rFonts w:hint="eastAsia"/>
                <w:sz w:val="22"/>
                <w:szCs w:val="22"/>
              </w:rPr>
              <w:t>成都联虹钼业有限公司</w:t>
            </w:r>
            <w:bookmarkEnd w:id="13"/>
          </w:p>
        </w:tc>
        <w:tc>
          <w:tcPr>
            <w:tcW w:w="5013" w:type="dxa"/>
            <w:gridSpan w:val="4"/>
            <w:vMerge w:val="restart"/>
          </w:tcPr>
          <w:p>
            <w:pPr>
              <w:snapToGrid w:val="0"/>
              <w:spacing w:line="0" w:lineRule="atLeast"/>
              <w:jc w:val="left"/>
              <w:rPr>
                <w:sz w:val="22"/>
                <w:szCs w:val="22"/>
              </w:rPr>
            </w:pPr>
            <w:bookmarkStart w:id="14" w:name="审核范围"/>
            <w:r>
              <w:rPr>
                <w:rFonts w:hint="eastAsia"/>
                <w:sz w:val="22"/>
                <w:szCs w:val="22"/>
              </w:rPr>
              <w:t>钼坯、钼板、钨板及其他钨、钼相关制品的设计开发、生产和售后服务所涉及的能源管理活动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5" w:name="注册地址"/>
            <w:r>
              <w:rPr>
                <w:rFonts w:hint="eastAsia"/>
                <w:sz w:val="22"/>
                <w:szCs w:val="22"/>
                <w:lang w:val="en-GB"/>
              </w:rPr>
              <w:t>四川省成都市龙泉区经济技术开发区南京路198号</w:t>
            </w:r>
            <w:bookmarkEnd w:id="15"/>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6" w:name="办公地址"/>
            <w:r>
              <w:rPr>
                <w:rFonts w:hint="eastAsia"/>
                <w:sz w:val="22"/>
                <w:szCs w:val="22"/>
                <w:lang w:val="en-GB"/>
              </w:rPr>
              <w:t>四川省成都市龙泉区经济技术开发区南京路198号</w:t>
            </w:r>
            <w:bookmarkEnd w:id="16"/>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p>
            <w:pPr>
              <w:pStyle w:val="2"/>
              <w:ind w:firstLine="210"/>
            </w:pPr>
          </w:p>
          <w:p>
            <w:pPr>
              <w:pStyle w:val="2"/>
              <w:ind w:firstLine="210"/>
            </w:pPr>
          </w:p>
          <w:p>
            <w:pPr>
              <w:pStyle w:val="2"/>
              <w:ind w:firstLine="210"/>
              <w:rPr>
                <w:rFonts w:hint="eastAsia"/>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color w:val="0000FF"/>
                <w:sz w:val="22"/>
                <w:szCs w:val="22"/>
              </w:rPr>
            </w:pPr>
            <w:r>
              <w:rPr>
                <w:rFonts w:cs="Arial"/>
                <w:b/>
                <w:bCs/>
                <w:color w:val="0000FF"/>
                <w:sz w:val="22"/>
                <w:szCs w:val="16"/>
              </w:rPr>
              <w:t>Company Name</w:t>
            </w:r>
            <w:r>
              <w:rPr>
                <w:rFonts w:hint="eastAsia"/>
                <w:color w:val="0000FF"/>
                <w:sz w:val="22"/>
                <w:szCs w:val="22"/>
                <w:lang w:val="en-GB"/>
              </w:rPr>
              <w:t>公司名称</w:t>
            </w:r>
          </w:p>
        </w:tc>
        <w:tc>
          <w:tcPr>
            <w:tcW w:w="3373" w:type="dxa"/>
            <w:vMerge w:val="restart"/>
          </w:tcPr>
          <w:p>
            <w:pPr>
              <w:snapToGrid w:val="0"/>
              <w:spacing w:line="0" w:lineRule="atLeast"/>
              <w:jc w:val="left"/>
              <w:rPr>
                <w:color w:val="0000FF"/>
                <w:sz w:val="22"/>
                <w:szCs w:val="22"/>
              </w:rPr>
            </w:pPr>
            <w:r>
              <w:rPr>
                <w:rFonts w:hint="eastAsia" w:cs="Arial"/>
                <w:b/>
                <w:bCs/>
                <w:color w:val="0000FF"/>
                <w:sz w:val="22"/>
                <w:szCs w:val="16"/>
              </w:rPr>
              <w:t>Ch</w:t>
            </w:r>
            <w:r>
              <w:rPr>
                <w:rFonts w:cs="Arial"/>
                <w:b/>
                <w:bCs/>
                <w:color w:val="0000FF"/>
                <w:sz w:val="22"/>
                <w:szCs w:val="16"/>
              </w:rPr>
              <w:t>engdu Lianhong Molybdenum Co.,Ltd.</w:t>
            </w:r>
          </w:p>
        </w:tc>
        <w:tc>
          <w:tcPr>
            <w:tcW w:w="1337" w:type="dxa"/>
          </w:tcPr>
          <w:p>
            <w:pPr>
              <w:snapToGrid w:val="0"/>
              <w:spacing w:line="0" w:lineRule="atLeast"/>
              <w:jc w:val="left"/>
              <w:rPr>
                <w:color w:val="0000FF"/>
                <w:sz w:val="22"/>
                <w:szCs w:val="22"/>
              </w:rPr>
            </w:pPr>
            <w:r>
              <w:rPr>
                <w:rFonts w:hint="eastAsia"/>
                <w:color w:val="0000FF"/>
                <w:sz w:val="22"/>
                <w:szCs w:val="22"/>
              </w:rPr>
              <w:t>QMS/EcMS</w:t>
            </w:r>
          </w:p>
        </w:tc>
        <w:tc>
          <w:tcPr>
            <w:tcW w:w="3676" w:type="dxa"/>
            <w:gridSpan w:val="3"/>
          </w:tcPr>
          <w:p>
            <w:pPr>
              <w:snapToGrid w:val="0"/>
              <w:spacing w:line="0" w:lineRule="atLeast"/>
              <w:jc w:val="left"/>
              <w:rPr>
                <w:color w:val="0000FF"/>
                <w:sz w:val="22"/>
                <w:szCs w:val="22"/>
              </w:rPr>
            </w:pPr>
            <w:r>
              <w:rPr>
                <w:color w:val="0000FF"/>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color w:val="0000FF"/>
                <w:sz w:val="22"/>
                <w:szCs w:val="22"/>
              </w:rPr>
            </w:pPr>
            <w:r>
              <w:rPr>
                <w:color w:val="0000FF"/>
                <w:sz w:val="22"/>
                <w:szCs w:val="16"/>
              </w:rPr>
              <w:fldChar w:fldCharType="begin"/>
            </w:r>
            <w:r>
              <w:rPr>
                <w:color w:val="0000FF"/>
                <w:sz w:val="22"/>
                <w:szCs w:val="16"/>
                <w:lang w:val="en-GB"/>
              </w:rPr>
              <w:instrText xml:space="preserve"> STYLEREF TM_street \* MERGEFORMAT </w:instrText>
            </w:r>
            <w:r>
              <w:rPr>
                <w:color w:val="0000FF"/>
                <w:sz w:val="22"/>
                <w:szCs w:val="16"/>
              </w:rPr>
              <w:fldChar w:fldCharType="separate"/>
            </w:r>
            <w:r>
              <w:rPr>
                <w:color w:val="0000FF"/>
                <w:sz w:val="22"/>
                <w:szCs w:val="16"/>
              </w:rPr>
              <w:fldChar w:fldCharType="end"/>
            </w:r>
            <w:r>
              <w:rPr>
                <w:rFonts w:cs="Arial"/>
                <w:b/>
                <w:bCs/>
                <w:color w:val="0000FF"/>
                <w:sz w:val="22"/>
                <w:szCs w:val="16"/>
              </w:rPr>
              <w:t>Registration Address</w:t>
            </w:r>
            <w:r>
              <w:rPr>
                <w:rFonts w:hint="eastAsia"/>
                <w:color w:val="0000FF"/>
                <w:sz w:val="22"/>
                <w:szCs w:val="22"/>
                <w:lang w:val="en-GB"/>
              </w:rPr>
              <w:t>注册地址</w:t>
            </w:r>
          </w:p>
        </w:tc>
        <w:tc>
          <w:tcPr>
            <w:tcW w:w="3373" w:type="dxa"/>
            <w:vMerge w:val="restart"/>
          </w:tcPr>
          <w:p>
            <w:pPr>
              <w:widowControl/>
              <w:shd w:val="clear" w:color="auto" w:fill="FFFFFF"/>
              <w:spacing w:after="150" w:line="315" w:lineRule="atLeast"/>
              <w:jc w:val="left"/>
              <w:rPr>
                <w:rFonts w:ascii="Calibri" w:hAnsi="Calibri" w:eastAsia="Microsoft YaHei UI" w:cs="Calibri"/>
                <w:color w:val="000000"/>
                <w:kern w:val="0"/>
                <w:sz w:val="22"/>
                <w:szCs w:val="22"/>
              </w:rPr>
            </w:pPr>
            <w:r>
              <w:rPr>
                <w:rFonts w:ascii="Verdana" w:hAnsi="Verdana" w:eastAsia="Microsoft YaHei UI" w:cs="Calibri"/>
                <w:color w:val="000000"/>
                <w:kern w:val="0"/>
                <w:sz w:val="20"/>
              </w:rPr>
              <w:t>No.198. Nanjing Road, Chengdu Economic&amp;Technological</w:t>
            </w:r>
          </w:p>
          <w:p>
            <w:pPr>
              <w:widowControl/>
              <w:shd w:val="clear" w:color="auto" w:fill="FFFFFF"/>
              <w:spacing w:after="150" w:line="315" w:lineRule="atLeast"/>
              <w:jc w:val="left"/>
              <w:rPr>
                <w:rFonts w:ascii="Calibri" w:hAnsi="Calibri" w:eastAsia="Microsoft YaHei UI" w:cs="Calibri"/>
                <w:color w:val="000000"/>
                <w:kern w:val="0"/>
                <w:sz w:val="22"/>
                <w:szCs w:val="22"/>
              </w:rPr>
            </w:pPr>
            <w:r>
              <w:rPr>
                <w:rFonts w:ascii="Verdana" w:hAnsi="Verdana" w:eastAsia="Microsoft YaHei UI" w:cs="Calibri"/>
                <w:color w:val="000000"/>
                <w:kern w:val="0"/>
                <w:sz w:val="20"/>
              </w:rPr>
              <w:t>Development Zone, Longquanyi District, Chengdu, Sichuan, P.R.China</w:t>
            </w:r>
          </w:p>
          <w:p>
            <w:pPr>
              <w:snapToGrid w:val="0"/>
              <w:spacing w:line="0" w:lineRule="atLeast"/>
              <w:jc w:val="left"/>
              <w:rPr>
                <w:color w:val="0000FF"/>
                <w:sz w:val="22"/>
                <w:szCs w:val="22"/>
              </w:rPr>
            </w:pPr>
          </w:p>
        </w:tc>
        <w:tc>
          <w:tcPr>
            <w:tcW w:w="1337" w:type="dxa"/>
          </w:tcPr>
          <w:p>
            <w:pPr>
              <w:snapToGrid w:val="0"/>
              <w:spacing w:line="0" w:lineRule="atLeast"/>
              <w:jc w:val="left"/>
              <w:rPr>
                <w:color w:val="0000FF"/>
                <w:sz w:val="22"/>
                <w:szCs w:val="22"/>
              </w:rPr>
            </w:pPr>
            <w:r>
              <w:rPr>
                <w:rFonts w:hint="eastAsia"/>
                <w:color w:val="0000FF"/>
                <w:sz w:val="22"/>
                <w:szCs w:val="22"/>
              </w:rPr>
              <w:t>OHSMS</w:t>
            </w:r>
          </w:p>
        </w:tc>
        <w:tc>
          <w:tcPr>
            <w:tcW w:w="3676" w:type="dxa"/>
            <w:gridSpan w:val="3"/>
          </w:tcPr>
          <w:p>
            <w:pPr>
              <w:snapToGrid w:val="0"/>
              <w:spacing w:line="0" w:lineRule="atLeast"/>
              <w:jc w:val="left"/>
              <w:rPr>
                <w:color w:val="0000F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color w:val="0000FF"/>
                <w:sz w:val="22"/>
                <w:szCs w:val="16"/>
              </w:rPr>
            </w:pPr>
          </w:p>
        </w:tc>
        <w:tc>
          <w:tcPr>
            <w:tcW w:w="3373" w:type="dxa"/>
            <w:vMerge w:val="continue"/>
          </w:tcPr>
          <w:p>
            <w:pPr>
              <w:snapToGrid w:val="0"/>
              <w:spacing w:line="0" w:lineRule="atLeast"/>
              <w:jc w:val="left"/>
              <w:rPr>
                <w:rFonts w:cs="Arial"/>
                <w:b/>
                <w:bCs/>
                <w:color w:val="0000FF"/>
                <w:sz w:val="22"/>
                <w:szCs w:val="16"/>
              </w:rPr>
            </w:pPr>
          </w:p>
        </w:tc>
        <w:tc>
          <w:tcPr>
            <w:tcW w:w="1337" w:type="dxa"/>
          </w:tcPr>
          <w:p>
            <w:pPr>
              <w:snapToGrid w:val="0"/>
              <w:spacing w:line="0" w:lineRule="atLeast"/>
              <w:jc w:val="left"/>
              <w:rPr>
                <w:color w:val="0000FF"/>
                <w:sz w:val="22"/>
                <w:szCs w:val="22"/>
              </w:rPr>
            </w:pPr>
            <w:r>
              <w:rPr>
                <w:rFonts w:hint="eastAsia"/>
                <w:color w:val="0000FF"/>
                <w:sz w:val="22"/>
                <w:szCs w:val="22"/>
              </w:rPr>
              <w:t>EnMS</w:t>
            </w:r>
          </w:p>
        </w:tc>
        <w:tc>
          <w:tcPr>
            <w:tcW w:w="3676" w:type="dxa"/>
            <w:gridSpan w:val="3"/>
          </w:tcPr>
          <w:p>
            <w:pPr>
              <w:snapToGrid w:val="0"/>
              <w:spacing w:line="0" w:lineRule="atLeast"/>
              <w:jc w:val="left"/>
              <w:rPr>
                <w:color w:val="0000FF"/>
                <w:sz w:val="22"/>
                <w:szCs w:val="22"/>
              </w:rPr>
            </w:pPr>
            <w:r>
              <w:rPr>
                <w:color w:val="0000FF"/>
                <w:sz w:val="22"/>
                <w:szCs w:val="22"/>
              </w:rPr>
              <w:t>The Energy Management System is applicable to:</w:t>
            </w:r>
          </w:p>
          <w:p>
            <w:pPr>
              <w:snapToGrid w:val="0"/>
              <w:spacing w:line="0" w:lineRule="atLeast"/>
              <w:jc w:val="left"/>
              <w:rPr>
                <w:color w:val="0000FF"/>
                <w:sz w:val="22"/>
                <w:szCs w:val="22"/>
              </w:rPr>
            </w:pPr>
            <w:r>
              <w:rPr>
                <w:color w:val="0000FF"/>
                <w:sz w:val="22"/>
                <w:szCs w:val="22"/>
              </w:rPr>
              <w:t>Design, Development, Manufacture and After-Sales Service of Molybdenum Ingot, Molybdenum Plate, Tungsten Plate, and Other Tungsten and Molybdenum Products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color w:val="0000FF"/>
                <w:sz w:val="22"/>
                <w:szCs w:val="22"/>
                <w:lang w:val="en-GB"/>
              </w:rPr>
            </w:pPr>
            <w:r>
              <w:rPr>
                <w:rFonts w:cs="Arial"/>
                <w:b/>
                <w:bCs/>
                <w:color w:val="0000FF"/>
                <w:sz w:val="22"/>
                <w:szCs w:val="16"/>
              </w:rPr>
              <w:t>Operation Address</w:t>
            </w:r>
            <w:r>
              <w:rPr>
                <w:rFonts w:hint="eastAsia"/>
                <w:color w:val="0000FF"/>
                <w:sz w:val="22"/>
                <w:szCs w:val="22"/>
              </w:rPr>
              <w:t>经营</w:t>
            </w:r>
            <w:r>
              <w:rPr>
                <w:rFonts w:hint="eastAsia"/>
                <w:color w:val="0000FF"/>
                <w:sz w:val="22"/>
                <w:szCs w:val="22"/>
                <w:lang w:val="en-GB"/>
              </w:rPr>
              <w:t>地址</w:t>
            </w:r>
          </w:p>
        </w:tc>
        <w:tc>
          <w:tcPr>
            <w:tcW w:w="3373" w:type="dxa"/>
            <w:vMerge w:val="restart"/>
          </w:tcPr>
          <w:p>
            <w:pPr>
              <w:widowControl/>
              <w:shd w:val="clear" w:color="auto" w:fill="FFFFFF"/>
              <w:spacing w:after="150" w:line="315" w:lineRule="atLeast"/>
              <w:jc w:val="left"/>
              <w:rPr>
                <w:rFonts w:ascii="Calibri" w:hAnsi="Calibri" w:eastAsia="Microsoft YaHei UI" w:cs="Calibri"/>
                <w:color w:val="000000"/>
                <w:kern w:val="0"/>
                <w:sz w:val="22"/>
                <w:szCs w:val="22"/>
              </w:rPr>
            </w:pPr>
            <w:r>
              <w:rPr>
                <w:rFonts w:ascii="Verdana" w:hAnsi="Verdana" w:eastAsia="Microsoft YaHei UI" w:cs="Calibri"/>
                <w:color w:val="000000"/>
                <w:kern w:val="0"/>
                <w:sz w:val="20"/>
              </w:rPr>
              <w:t>No.198. Nanjing Road, Chengdu Economic&amp;Technological</w:t>
            </w:r>
          </w:p>
          <w:p>
            <w:pPr>
              <w:widowControl/>
              <w:shd w:val="clear" w:color="auto" w:fill="FFFFFF"/>
              <w:spacing w:after="150" w:line="315" w:lineRule="atLeast"/>
              <w:jc w:val="left"/>
              <w:rPr>
                <w:rFonts w:ascii="Calibri" w:hAnsi="Calibri" w:eastAsia="Microsoft YaHei UI" w:cs="Calibri"/>
                <w:color w:val="000000"/>
                <w:kern w:val="0"/>
                <w:sz w:val="22"/>
                <w:szCs w:val="22"/>
              </w:rPr>
            </w:pPr>
            <w:r>
              <w:rPr>
                <w:rFonts w:ascii="Verdana" w:hAnsi="Verdana" w:eastAsia="Microsoft YaHei UI" w:cs="Calibri"/>
                <w:color w:val="000000"/>
                <w:kern w:val="0"/>
                <w:sz w:val="20"/>
              </w:rPr>
              <w:t>Development Zone, Longquanyi District, Chengdu, Sichuan, P.R.China</w:t>
            </w:r>
          </w:p>
          <w:p>
            <w:pPr>
              <w:snapToGrid w:val="0"/>
              <w:spacing w:line="0" w:lineRule="atLeast"/>
              <w:jc w:val="left"/>
              <w:rPr>
                <w:color w:val="0000FF"/>
                <w:sz w:val="22"/>
                <w:szCs w:val="22"/>
              </w:rPr>
            </w:pPr>
          </w:p>
        </w:tc>
        <w:tc>
          <w:tcPr>
            <w:tcW w:w="1337" w:type="dxa"/>
          </w:tcPr>
          <w:p>
            <w:pPr>
              <w:snapToGrid w:val="0"/>
              <w:spacing w:line="0" w:lineRule="atLeast"/>
              <w:jc w:val="left"/>
              <w:rPr>
                <w:color w:val="0000FF"/>
                <w:sz w:val="22"/>
                <w:szCs w:val="22"/>
              </w:rPr>
            </w:pPr>
            <w:r>
              <w:rPr>
                <w:rFonts w:hint="eastAsia"/>
                <w:color w:val="0000FF"/>
                <w:sz w:val="22"/>
                <w:szCs w:val="22"/>
              </w:rPr>
              <w:t>FSMS</w:t>
            </w:r>
          </w:p>
        </w:tc>
        <w:tc>
          <w:tcPr>
            <w:tcW w:w="3676" w:type="dxa"/>
            <w:gridSpan w:val="3"/>
          </w:tcPr>
          <w:p>
            <w:pPr>
              <w:snapToGrid w:val="0"/>
              <w:spacing w:line="0" w:lineRule="atLeast"/>
              <w:jc w:val="left"/>
              <w:rPr>
                <w:color w:val="0000F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r>
        <w:rPr>
          <w:rFonts w:hint="eastAsia"/>
        </w:rPr>
        <w:t>附件2：</w:t>
      </w:r>
    </w:p>
    <w:p>
      <w:pPr>
        <w:pStyle w:val="4"/>
        <w:spacing w:line="0" w:lineRule="atLeast"/>
        <w:ind w:firstLine="0"/>
        <w:jc w:val="center"/>
        <w:rPr>
          <w:rFonts w:hint="eastAsia" w:ascii="宋体" w:hAnsi="宋体"/>
          <w:b/>
          <w:color w:val="000000" w:themeColor="text1"/>
          <w:sz w:val="30"/>
          <w:szCs w:val="30"/>
          <w14:textFill>
            <w14:solidFill>
              <w14:schemeClr w14:val="tx1"/>
            </w14:solidFill>
          </w14:textFill>
        </w:rPr>
      </w:pPr>
    </w:p>
    <w:p>
      <w:pPr>
        <w:pStyle w:val="4"/>
        <w:spacing w:line="0" w:lineRule="atLeast"/>
        <w:ind w:firstLine="0"/>
        <w:jc w:val="center"/>
        <w:rPr>
          <w:rFonts w:hint="eastAsia" w:ascii="宋体" w:hAnsi="宋体"/>
          <w:b/>
          <w:color w:val="000000" w:themeColor="text1"/>
          <w:sz w:val="30"/>
          <w:szCs w:val="30"/>
          <w14:textFill>
            <w14:solidFill>
              <w14:schemeClr w14:val="tx1"/>
            </w14:solidFill>
          </w14:textFill>
        </w:rPr>
      </w:pPr>
    </w:p>
    <w:p>
      <w:pPr>
        <w:pStyle w:val="4"/>
        <w:spacing w:line="0" w:lineRule="atLeast"/>
        <w:ind w:firstLine="0"/>
        <w:jc w:val="center"/>
        <w:rPr>
          <w:rFonts w:hint="eastAsia" w:ascii="宋体" w:hAnsi="宋体"/>
          <w:b/>
          <w:color w:val="000000" w:themeColor="text1"/>
          <w:sz w:val="30"/>
          <w:szCs w:val="30"/>
          <w14:textFill>
            <w14:solidFill>
              <w14:schemeClr w14:val="tx1"/>
            </w14:solidFill>
          </w14:textFill>
        </w:rPr>
      </w:pPr>
    </w:p>
    <w:p>
      <w:pPr>
        <w:pStyle w:val="4"/>
        <w:spacing w:line="0" w:lineRule="atLeast"/>
        <w:ind w:firstLine="0"/>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能源管理体系认证证书附件</w:t>
      </w:r>
    </w:p>
    <w:p>
      <w:pPr>
        <w:pStyle w:val="4"/>
        <w:spacing w:line="40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获证组织名称：</w:t>
      </w:r>
      <w:r>
        <w:rPr>
          <w:rFonts w:hint="eastAsia"/>
          <w:b/>
          <w:color w:val="000000" w:themeColor="text1"/>
          <w:sz w:val="22"/>
          <w:szCs w:val="22"/>
          <w:u w:val="single"/>
          <w14:textFill>
            <w14:solidFill>
              <w14:schemeClr w14:val="tx1"/>
            </w14:solidFill>
          </w14:textFill>
        </w:rPr>
        <w:t xml:space="preserve">  </w:t>
      </w:r>
      <w:bookmarkStart w:id="17" w:name="组织名称Add2"/>
      <w:r>
        <w:rPr>
          <w:rFonts w:hint="eastAsia"/>
          <w:b/>
          <w:color w:val="000000" w:themeColor="text1"/>
          <w:sz w:val="22"/>
          <w:szCs w:val="22"/>
          <w:u w:val="single"/>
          <w14:textFill>
            <w14:solidFill>
              <w14:schemeClr w14:val="tx1"/>
            </w14:solidFill>
          </w14:textFill>
        </w:rPr>
        <w:t>成都联虹钼业有限公司</w:t>
      </w:r>
      <w:bookmarkEnd w:id="17"/>
      <w:r>
        <w:rPr>
          <w:rFonts w:hint="eastAsia"/>
          <w:b/>
          <w:color w:val="000000" w:themeColor="text1"/>
          <w:sz w:val="22"/>
          <w:szCs w:val="22"/>
          <w:u w:val="single"/>
          <w14:textFill>
            <w14:solidFill>
              <w14:schemeClr w14:val="tx1"/>
            </w14:solidFill>
          </w14:textFill>
        </w:rPr>
        <w:t xml:space="preserve">  </w:t>
      </w:r>
      <w:r>
        <w:rPr>
          <w:rFonts w:hint="eastAsia"/>
          <w:b/>
          <w:color w:val="000000" w:themeColor="text1"/>
          <w:sz w:val="22"/>
          <w:szCs w:val="22"/>
          <w14:textFill>
            <w14:solidFill>
              <w14:schemeClr w14:val="tx1"/>
            </w14:solidFill>
          </w14:textFill>
        </w:rPr>
        <w:t>证书注册号：</w:t>
      </w:r>
      <w:r>
        <w:rPr>
          <w:rFonts w:hint="eastAsia"/>
          <w:b/>
          <w:color w:val="000000" w:themeColor="text1"/>
          <w:sz w:val="22"/>
          <w:szCs w:val="22"/>
          <w:u w:val="single"/>
          <w14:textFill>
            <w14:solidFill>
              <w14:schemeClr w14:val="tx1"/>
            </w14:solidFill>
          </w14:textFill>
        </w:rPr>
        <w:t xml:space="preserve"> </w:t>
      </w:r>
      <w:bookmarkStart w:id="18" w:name="证书编号Add1"/>
      <w:bookmarkEnd w:id="18"/>
      <w:r>
        <w:rPr>
          <w:rFonts w:hint="eastAsia"/>
          <w:b/>
          <w:color w:val="000000" w:themeColor="text1"/>
          <w:sz w:val="22"/>
          <w:szCs w:val="22"/>
          <w:u w:val="single"/>
          <w14:textFill>
            <w14:solidFill>
              <w14:schemeClr w14:val="tx1"/>
            </w14:solidFill>
          </w14:textFill>
        </w:rPr>
        <w:t xml:space="preserve"> </w:t>
      </w:r>
    </w:p>
    <w:p>
      <w:pPr>
        <w:pStyle w:val="4"/>
        <w:spacing w:line="40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获证组织地址：</w:t>
      </w:r>
      <w:r>
        <w:rPr>
          <w:rFonts w:hint="eastAsia"/>
          <w:b/>
          <w:color w:val="000000" w:themeColor="text1"/>
          <w:sz w:val="22"/>
          <w:szCs w:val="22"/>
          <w:u w:val="single"/>
          <w14:textFill>
            <w14:solidFill>
              <w14:schemeClr w14:val="tx1"/>
            </w14:solidFill>
          </w14:textFill>
        </w:rPr>
        <w:t xml:space="preserve">  </w:t>
      </w:r>
      <w:bookmarkStart w:id="19" w:name="生产地址"/>
      <w:r>
        <w:rPr>
          <w:rFonts w:hint="eastAsia"/>
          <w:b/>
          <w:color w:val="000000" w:themeColor="text1"/>
          <w:sz w:val="22"/>
          <w:szCs w:val="22"/>
          <w:u w:val="single"/>
          <w14:textFill>
            <w14:solidFill>
              <w14:schemeClr w14:val="tx1"/>
            </w14:solidFill>
          </w14:textFill>
        </w:rPr>
        <w:t>四川省成都市龙泉区经济技术开发区南京路198号</w:t>
      </w:r>
      <w:bookmarkEnd w:id="19"/>
      <w:r>
        <w:rPr>
          <w:rFonts w:hint="eastAsia"/>
          <w:b/>
          <w:color w:val="000000" w:themeColor="text1"/>
          <w:sz w:val="22"/>
          <w:szCs w:val="22"/>
          <w:u w:val="single"/>
          <w14:textFill>
            <w14:solidFill>
              <w14:schemeClr w14:val="tx1"/>
            </w14:solidFill>
          </w14:textFill>
        </w:rPr>
        <w:t xml:space="preserve">  </w:t>
      </w:r>
    </w:p>
    <w:p>
      <w:pPr>
        <w:pStyle w:val="4"/>
        <w:spacing w:line="40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认证依据标准：GB/T 23331-2020/ISO50001:2018《能源管理体系 要求及使用指南》</w:t>
      </w:r>
    </w:p>
    <w:p>
      <w:pPr>
        <w:ind w:firstLine="1546" w:firstLineChars="700"/>
        <w:rPr>
          <w:rFonts w:hint="eastAsia" w:ascii="Times New Roman" w:hAnsi="Times New Roman" w:eastAsia="宋体" w:cs="Times New Roman"/>
          <w:b/>
          <w:color w:val="000000" w:themeColor="text1"/>
          <w:kern w:val="2"/>
          <w:sz w:val="22"/>
          <w:szCs w:val="22"/>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2"/>
          <w:sz w:val="22"/>
          <w:szCs w:val="22"/>
          <w:lang w:val="en-US" w:eastAsia="zh-CN" w:bidi="ar-SA"/>
          <w14:textFill>
            <w14:solidFill>
              <w14:schemeClr w14:val="tx1"/>
            </w14:solidFill>
          </w14:textFill>
        </w:rPr>
        <w:t>&amp;</w:t>
      </w:r>
      <w:r>
        <w:rPr>
          <w:rFonts w:hint="eastAsia" w:ascii="Times New Roman" w:hAnsi="Times New Roman" w:eastAsia="宋体" w:cs="Times New Roman"/>
          <w:b/>
          <w:color w:val="000000" w:themeColor="text1"/>
          <w:kern w:val="2"/>
          <w:sz w:val="22"/>
          <w:szCs w:val="22"/>
          <w:lang w:val="de-DE" w:eastAsia="zh-CN" w:bidi="ar-SA"/>
          <w14:textFill>
            <w14:solidFill>
              <w14:schemeClr w14:val="tx1"/>
            </w14:solidFill>
          </w14:textFill>
        </w:rPr>
        <w:t xml:space="preserve">☑RB/T </w:t>
      </w:r>
      <w:r>
        <w:rPr>
          <w:rFonts w:hint="eastAsia" w:ascii="Times New Roman" w:hAnsi="Times New Roman" w:eastAsia="宋体" w:cs="Times New Roman"/>
          <w:b/>
          <w:color w:val="000000" w:themeColor="text1"/>
          <w:kern w:val="2"/>
          <w:sz w:val="22"/>
          <w:szCs w:val="22"/>
          <w:lang w:val="en-US" w:eastAsia="zh-CN" w:bidi="ar-SA"/>
          <w14:textFill>
            <w14:solidFill>
              <w14:schemeClr w14:val="tx1"/>
            </w14:solidFill>
          </w14:textFill>
        </w:rPr>
        <w:fldChar w:fldCharType="begin"/>
      </w:r>
      <w:r>
        <w:rPr>
          <w:rFonts w:hint="eastAsia" w:ascii="Times New Roman" w:hAnsi="Times New Roman" w:eastAsia="宋体" w:cs="Times New Roman"/>
          <w:b/>
          <w:color w:val="000000" w:themeColor="text1"/>
          <w:kern w:val="2"/>
          <w:sz w:val="22"/>
          <w:szCs w:val="22"/>
          <w:lang w:val="en-US" w:eastAsia="zh-CN" w:bidi="ar-SA"/>
          <w14:textFill>
            <w14:solidFill>
              <w14:schemeClr w14:val="tx1"/>
            </w14:solidFill>
          </w14:textFill>
        </w:rPr>
        <w:instrText xml:space="preserve"> HYPERLINK "https://max.book118.com/html/2017/1019/137483715.shtm" \t "https://www.so.com/_blank" </w:instrText>
      </w:r>
      <w:r>
        <w:rPr>
          <w:rFonts w:hint="eastAsia" w:ascii="Times New Roman" w:hAnsi="Times New Roman" w:eastAsia="宋体" w:cs="Times New Roman"/>
          <w:b/>
          <w:color w:val="000000" w:themeColor="text1"/>
          <w:kern w:val="2"/>
          <w:sz w:val="22"/>
          <w:szCs w:val="22"/>
          <w:lang w:val="en-US" w:eastAsia="zh-CN" w:bidi="ar-SA"/>
          <w14:textFill>
            <w14:solidFill>
              <w14:schemeClr w14:val="tx1"/>
            </w14:solidFill>
          </w14:textFill>
        </w:rPr>
        <w:fldChar w:fldCharType="separate"/>
      </w:r>
      <w:r>
        <w:rPr>
          <w:rFonts w:hint="eastAsia" w:ascii="Times New Roman" w:hAnsi="Times New Roman" w:eastAsia="宋体" w:cs="Times New Roman"/>
          <w:b/>
          <w:color w:val="000000" w:themeColor="text1"/>
          <w:kern w:val="2"/>
          <w:sz w:val="22"/>
          <w:szCs w:val="22"/>
          <w:lang w:val="en-US" w:eastAsia="zh-CN" w:bidi="ar-SA"/>
          <w14:textFill>
            <w14:solidFill>
              <w14:schemeClr w14:val="tx1"/>
            </w14:solidFill>
          </w14:textFill>
        </w:rPr>
        <w:t>117-2014 能源管理体系 有色金属企业认证要求</w:t>
      </w:r>
      <w:r>
        <w:rPr>
          <w:rFonts w:hint="eastAsia" w:ascii="Times New Roman" w:hAnsi="Times New Roman" w:eastAsia="宋体" w:cs="Times New Roman"/>
          <w:b/>
          <w:color w:val="000000" w:themeColor="text1"/>
          <w:kern w:val="2"/>
          <w:sz w:val="22"/>
          <w:szCs w:val="22"/>
          <w:lang w:val="en-US" w:eastAsia="zh-CN" w:bidi="ar-SA"/>
          <w14:textFill>
            <w14:solidFill>
              <w14:schemeClr w14:val="tx1"/>
            </w14:solidFill>
          </w14:textFill>
        </w:rPr>
        <w:fldChar w:fldCharType="end"/>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4"/>
              <w:spacing w:line="400" w:lineRule="exact"/>
              <w:ind w:firstLine="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审核类型及时间</w:t>
            </w:r>
          </w:p>
        </w:tc>
        <w:tc>
          <w:tcPr>
            <w:tcW w:w="4735" w:type="dxa"/>
          </w:tcPr>
          <w:p>
            <w:pPr>
              <w:pStyle w:val="4"/>
              <w:spacing w:line="400" w:lineRule="exact"/>
              <w:ind w:firstLine="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能源数据</w:t>
            </w:r>
          </w:p>
        </w:tc>
        <w:tc>
          <w:tcPr>
            <w:tcW w:w="2835" w:type="dxa"/>
          </w:tcPr>
          <w:p>
            <w:pPr>
              <w:pStyle w:val="4"/>
              <w:spacing w:line="400" w:lineRule="exact"/>
              <w:ind w:firstLine="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4"/>
              <w:spacing w:line="400" w:lineRule="exact"/>
              <w:ind w:firstLine="0"/>
              <w:rPr>
                <w:sz w:val="20"/>
                <w:szCs w:val="22"/>
              </w:rPr>
            </w:pPr>
            <w:r>
              <w:rPr>
                <w:rFonts w:hint="eastAsia"/>
                <w:sz w:val="20"/>
                <w:szCs w:val="22"/>
              </w:rPr>
              <w:t>初次审核</w:t>
            </w:r>
          </w:p>
          <w:p>
            <w:pPr>
              <w:pStyle w:val="4"/>
              <w:spacing w:line="400" w:lineRule="exact"/>
              <w:ind w:firstLine="0"/>
              <w:rPr>
                <w:sz w:val="20"/>
                <w:szCs w:val="22"/>
              </w:rPr>
            </w:pPr>
            <w:r>
              <w:rPr>
                <w:rFonts w:hint="eastAsia"/>
                <w:sz w:val="20"/>
                <w:szCs w:val="22"/>
                <w:u w:val="single"/>
              </w:rPr>
              <w:t>2021</w:t>
            </w:r>
            <w:r>
              <w:rPr>
                <w:rFonts w:hint="eastAsia"/>
                <w:sz w:val="20"/>
                <w:szCs w:val="22"/>
              </w:rPr>
              <w:t>年</w:t>
            </w:r>
            <w:r>
              <w:rPr>
                <w:rFonts w:hint="eastAsia"/>
                <w:sz w:val="20"/>
                <w:szCs w:val="22"/>
                <w:u w:val="single"/>
              </w:rPr>
              <w:t>9</w:t>
            </w:r>
            <w:r>
              <w:rPr>
                <w:rFonts w:hint="eastAsia"/>
                <w:sz w:val="20"/>
                <w:szCs w:val="22"/>
              </w:rPr>
              <w:t>月</w:t>
            </w:r>
          </w:p>
          <w:p>
            <w:pPr>
              <w:pStyle w:val="4"/>
              <w:spacing w:line="400" w:lineRule="exact"/>
              <w:ind w:firstLine="0"/>
              <w:rPr>
                <w:rFonts w:ascii="宋体" w:hAnsi="宋体"/>
                <w:b/>
                <w:color w:val="000000" w:themeColor="text1"/>
                <w:sz w:val="24"/>
                <w:szCs w:val="24"/>
                <w14:textFill>
                  <w14:solidFill>
                    <w14:schemeClr w14:val="tx1"/>
                  </w14:solidFill>
                </w14:textFill>
              </w:rPr>
            </w:pPr>
            <w:r>
              <w:rPr>
                <w:rFonts w:hint="eastAsia"/>
                <w:sz w:val="20"/>
                <w:szCs w:val="22"/>
                <w:u w:val="single"/>
              </w:rPr>
              <w:t>6~8</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4"/>
              <w:spacing w:line="400" w:lineRule="exact"/>
              <w:ind w:firstLine="0"/>
              <w:rPr>
                <w:rFonts w:ascii="宋体" w:hAnsi="宋体"/>
                <w:b/>
                <w:color w:val="000000" w:themeColor="text1"/>
                <w:szCs w:val="24"/>
                <w14:textFill>
                  <w14:solidFill>
                    <w14:schemeClr w14:val="tx1"/>
                  </w14:solidFill>
                </w14:textFill>
              </w:rPr>
            </w:pPr>
            <w:r>
              <w:rPr>
                <w:rFonts w:hint="eastAsia"/>
                <w:sz w:val="20"/>
                <w:szCs w:val="22"/>
                <w:u w:val="single"/>
              </w:rPr>
              <w:t>2020</w:t>
            </w:r>
            <w:r>
              <w:rPr>
                <w:rFonts w:hint="eastAsia"/>
                <w:sz w:val="20"/>
                <w:szCs w:val="22"/>
              </w:rPr>
              <w:t>年</w:t>
            </w:r>
            <w:r>
              <w:rPr>
                <w:rFonts w:hint="eastAsia"/>
                <w:sz w:val="20"/>
                <w:szCs w:val="22"/>
                <w:u w:val="single"/>
              </w:rPr>
              <w:t>1</w:t>
            </w:r>
            <w:r>
              <w:rPr>
                <w:rFonts w:hint="eastAsia"/>
                <w:sz w:val="20"/>
                <w:szCs w:val="22"/>
              </w:rPr>
              <w:t>月至</w:t>
            </w:r>
            <w:r>
              <w:rPr>
                <w:rFonts w:hint="eastAsia"/>
                <w:sz w:val="20"/>
                <w:szCs w:val="22"/>
                <w:u w:val="single"/>
              </w:rPr>
              <w:t>2020</w:t>
            </w:r>
            <w:r>
              <w:rPr>
                <w:rFonts w:hint="eastAsia"/>
                <w:sz w:val="20"/>
                <w:szCs w:val="22"/>
              </w:rPr>
              <w:t>年</w:t>
            </w:r>
            <w:r>
              <w:rPr>
                <w:rFonts w:hint="eastAsia"/>
                <w:sz w:val="20"/>
                <w:szCs w:val="22"/>
                <w:u w:val="single"/>
              </w:rPr>
              <w:t>12</w:t>
            </w:r>
            <w:r>
              <w:rPr>
                <w:rFonts w:hint="eastAsia"/>
                <w:sz w:val="20"/>
                <w:szCs w:val="22"/>
              </w:rPr>
              <w:t>月</w:t>
            </w:r>
            <w:r>
              <w:rPr>
                <w:rFonts w:hint="eastAsia"/>
                <w:sz w:val="20"/>
                <w:szCs w:val="22"/>
                <w:u w:val="single"/>
              </w:rPr>
              <w:t>31</w:t>
            </w:r>
            <w:r>
              <w:rPr>
                <w:rFonts w:hint="eastAsia"/>
                <w:sz w:val="20"/>
                <w:szCs w:val="22"/>
              </w:rPr>
              <w:t>日</w:t>
            </w:r>
          </w:p>
        </w:tc>
        <w:tc>
          <w:tcPr>
            <w:tcW w:w="2835" w:type="dxa"/>
            <w:vMerge w:val="restart"/>
          </w:tcPr>
          <w:p>
            <w:pPr>
              <w:pStyle w:val="4"/>
              <w:spacing w:line="400" w:lineRule="exact"/>
              <w:ind w:firstLine="0"/>
              <w:rPr>
                <w:sz w:val="20"/>
                <w:szCs w:val="22"/>
                <w:u w:val="single"/>
              </w:rPr>
            </w:pPr>
            <w:r>
              <w:rPr>
                <w:rFonts w:hint="eastAsia"/>
                <w:sz w:val="20"/>
                <w:szCs w:val="22"/>
                <w:u w:val="single"/>
              </w:rPr>
              <w:t>1、位于四川省成都市龙泉区经济技术开发区南京路198号的成都联虹钼业有限公司；</w:t>
            </w:r>
          </w:p>
          <w:p>
            <w:pPr>
              <w:pStyle w:val="4"/>
              <w:spacing w:line="320" w:lineRule="exact"/>
              <w:ind w:firstLine="0"/>
              <w:rPr>
                <w:sz w:val="20"/>
                <w:szCs w:val="22"/>
                <w:u w:val="single"/>
              </w:rPr>
            </w:pPr>
            <w:r>
              <w:rPr>
                <w:rFonts w:hint="eastAsia"/>
                <w:sz w:val="20"/>
                <w:szCs w:val="22"/>
                <w:u w:val="single"/>
              </w:rPr>
              <w:t>2、主要生产系统：板材制品部、制坯部；</w:t>
            </w:r>
          </w:p>
          <w:p>
            <w:pPr>
              <w:pStyle w:val="4"/>
              <w:spacing w:line="320" w:lineRule="exact"/>
              <w:ind w:firstLine="0"/>
              <w:rPr>
                <w:sz w:val="20"/>
                <w:szCs w:val="22"/>
                <w:u w:val="single"/>
              </w:rPr>
            </w:pPr>
            <w:r>
              <w:rPr>
                <w:rFonts w:hint="eastAsia"/>
                <w:sz w:val="20"/>
                <w:szCs w:val="22"/>
                <w:u w:val="single"/>
              </w:rPr>
              <w:t>3、辅助生产系统：综合部、安全环保部、运营管理部、</w:t>
            </w:r>
            <w:bookmarkStart w:id="20" w:name="_GoBack"/>
            <w:bookmarkEnd w:id="20"/>
            <w:r>
              <w:rPr>
                <w:rFonts w:hint="eastAsia"/>
                <w:sz w:val="20"/>
                <w:szCs w:val="22"/>
                <w:u w:val="single"/>
                <w:lang w:val="en-US" w:eastAsia="zh-CN"/>
              </w:rPr>
              <w:t>研发</w:t>
            </w:r>
            <w:r>
              <w:rPr>
                <w:rFonts w:hint="eastAsia"/>
                <w:sz w:val="20"/>
                <w:szCs w:val="22"/>
                <w:u w:val="single"/>
              </w:rPr>
              <w:t>部、财务部。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4"/>
              <w:spacing w:line="400" w:lineRule="exact"/>
              <w:ind w:firstLine="0"/>
              <w:rPr>
                <w:sz w:val="20"/>
                <w:szCs w:val="22"/>
              </w:rPr>
            </w:pPr>
          </w:p>
        </w:tc>
        <w:tc>
          <w:tcPr>
            <w:tcW w:w="4735" w:type="dxa"/>
          </w:tcPr>
          <w:p>
            <w:pPr>
              <w:pStyle w:val="4"/>
              <w:spacing w:line="320" w:lineRule="exact"/>
              <w:ind w:firstLine="0"/>
              <w:rPr>
                <w:b/>
                <w:bCs/>
                <w:sz w:val="20"/>
              </w:rPr>
            </w:pPr>
            <w:r>
              <w:rPr>
                <w:rFonts w:hint="eastAsia"/>
                <w:b/>
                <w:bCs/>
                <w:sz w:val="20"/>
              </w:rPr>
              <w:t>产量：857283.37kg</w:t>
            </w:r>
          </w:p>
          <w:p>
            <w:pPr>
              <w:pStyle w:val="4"/>
              <w:spacing w:line="320" w:lineRule="exact"/>
              <w:ind w:firstLine="0"/>
              <w:rPr>
                <w:rFonts w:hint="default" w:ascii="宋体" w:hAnsi="宋体" w:eastAsia="宋体"/>
                <w:b/>
                <w:color w:val="000000" w:themeColor="text1"/>
                <w:szCs w:val="24"/>
                <w:lang w:val="en-US" w:eastAsia="zh-CN"/>
                <w14:textFill>
                  <w14:solidFill>
                    <w14:schemeClr w14:val="tx1"/>
                  </w14:solidFill>
                </w14:textFill>
              </w:rPr>
            </w:pPr>
            <w:r>
              <w:rPr>
                <w:rFonts w:hint="eastAsia"/>
                <w:b/>
                <w:bCs/>
                <w:color w:val="0000FF"/>
                <w:sz w:val="20"/>
              </w:rPr>
              <w:t>产值（万元）：</w:t>
            </w:r>
            <w:r>
              <w:rPr>
                <w:rFonts w:hint="eastAsia"/>
                <w:b/>
                <w:bCs/>
                <w:color w:val="0000FF"/>
                <w:sz w:val="20"/>
                <w:lang w:val="en-US" w:eastAsia="zh-CN"/>
              </w:rPr>
              <w:t>224594</w:t>
            </w:r>
          </w:p>
        </w:tc>
        <w:tc>
          <w:tcPr>
            <w:tcW w:w="2835" w:type="dxa"/>
            <w:vMerge w:val="continue"/>
          </w:tcPr>
          <w:p>
            <w:pPr>
              <w:pStyle w:val="4"/>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4"/>
              <w:spacing w:line="400" w:lineRule="exact"/>
              <w:ind w:firstLine="0"/>
              <w:rPr>
                <w:sz w:val="20"/>
                <w:szCs w:val="22"/>
              </w:rPr>
            </w:pPr>
          </w:p>
        </w:tc>
        <w:tc>
          <w:tcPr>
            <w:tcW w:w="4735" w:type="dxa"/>
          </w:tcPr>
          <w:p>
            <w:pPr>
              <w:pStyle w:val="4"/>
              <w:spacing w:line="320" w:lineRule="exact"/>
              <w:ind w:firstLine="0"/>
              <w:rPr>
                <w:b/>
                <w:bCs/>
                <w:sz w:val="20"/>
                <w:szCs w:val="22"/>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Pr>
                <w:rFonts w:hint="eastAsia"/>
                <w:b/>
                <w:bCs/>
                <w:sz w:val="20"/>
                <w:szCs w:val="22"/>
              </w:rPr>
              <w:t>1193.56</w:t>
            </w:r>
          </w:p>
          <w:p>
            <w:pPr>
              <w:pStyle w:val="4"/>
              <w:spacing w:line="320" w:lineRule="exact"/>
              <w:ind w:firstLine="0"/>
              <w:rPr>
                <w:rFonts w:ascii="宋体" w:hAnsi="宋体"/>
                <w:b/>
                <w:color w:val="000000" w:themeColor="text1"/>
                <w:szCs w:val="24"/>
                <w14:textFill>
                  <w14:solidFill>
                    <w14:schemeClr w14:val="tx1"/>
                  </w14:solidFill>
                </w14:textFill>
              </w:rPr>
            </w:pPr>
            <w:r>
              <w:rPr>
                <w:rFonts w:hint="eastAsia"/>
                <w:sz w:val="20"/>
                <w:szCs w:val="22"/>
              </w:rPr>
              <w:t xml:space="preserve"> </w:t>
            </w:r>
          </w:p>
        </w:tc>
        <w:tc>
          <w:tcPr>
            <w:tcW w:w="2835" w:type="dxa"/>
            <w:vMerge w:val="continue"/>
          </w:tcPr>
          <w:p>
            <w:pPr>
              <w:pStyle w:val="4"/>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036" w:type="dxa"/>
            <w:vMerge w:val="continue"/>
          </w:tcPr>
          <w:p>
            <w:pPr>
              <w:pStyle w:val="4"/>
              <w:spacing w:line="400" w:lineRule="exact"/>
              <w:ind w:firstLine="0"/>
              <w:rPr>
                <w:sz w:val="20"/>
                <w:szCs w:val="22"/>
              </w:rPr>
            </w:pPr>
          </w:p>
        </w:tc>
        <w:tc>
          <w:tcPr>
            <w:tcW w:w="4735" w:type="dxa"/>
          </w:tcPr>
          <w:p>
            <w:pPr>
              <w:rPr>
                <w:b/>
                <w:bCs/>
                <w:sz w:val="20"/>
                <w:szCs w:val="22"/>
              </w:rPr>
            </w:pPr>
            <w:r>
              <w:rPr>
                <w:rFonts w:hint="eastAsia"/>
                <w:b/>
                <w:bCs/>
                <w:sz w:val="20"/>
                <w:szCs w:val="22"/>
              </w:rPr>
              <w:t>单位能耗：1.39kgce/kg。</w:t>
            </w:r>
          </w:p>
          <w:p>
            <w:pPr>
              <w:rPr>
                <w:rFonts w:ascii="宋体" w:hAnsi="宋体"/>
                <w:b/>
                <w:color w:val="000000" w:themeColor="text1"/>
                <w:szCs w:val="24"/>
                <w14:textFill>
                  <w14:solidFill>
                    <w14:schemeClr w14:val="tx1"/>
                  </w14:solidFill>
                </w14:textFill>
              </w:rPr>
            </w:pPr>
          </w:p>
        </w:tc>
        <w:tc>
          <w:tcPr>
            <w:tcW w:w="2835" w:type="dxa"/>
            <w:vMerge w:val="continue"/>
          </w:tcPr>
          <w:p>
            <w:pPr>
              <w:pStyle w:val="4"/>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036" w:type="dxa"/>
            <w:vMerge w:val="continue"/>
          </w:tcPr>
          <w:p>
            <w:pPr>
              <w:pStyle w:val="4"/>
              <w:spacing w:line="400" w:lineRule="exact"/>
              <w:ind w:firstLine="0"/>
              <w:rPr>
                <w:sz w:val="20"/>
                <w:szCs w:val="22"/>
              </w:rPr>
            </w:pPr>
          </w:p>
        </w:tc>
        <w:tc>
          <w:tcPr>
            <w:tcW w:w="4735" w:type="dxa"/>
          </w:tcPr>
          <w:p>
            <w:pPr>
              <w:rPr>
                <w:sz w:val="20"/>
                <w:szCs w:val="22"/>
              </w:rPr>
            </w:pPr>
            <w:r>
              <w:rPr>
                <w:rFonts w:hint="eastAsia"/>
                <w:b/>
                <w:bCs/>
                <w:sz w:val="20"/>
                <w:szCs w:val="22"/>
              </w:rPr>
              <w:t>节能量（吨标准煤）：政府没有下达节能量，</w:t>
            </w:r>
          </w:p>
        </w:tc>
        <w:tc>
          <w:tcPr>
            <w:tcW w:w="2835" w:type="dxa"/>
            <w:vMerge w:val="continue"/>
          </w:tcPr>
          <w:p>
            <w:pPr>
              <w:pStyle w:val="4"/>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4"/>
              <w:spacing w:line="400" w:lineRule="exact"/>
              <w:ind w:firstLine="0"/>
              <w:rPr>
                <w:sz w:val="20"/>
                <w:szCs w:val="22"/>
              </w:rPr>
            </w:pPr>
            <w:r>
              <w:rPr>
                <w:rFonts w:hint="eastAsia"/>
                <w:sz w:val="20"/>
                <w:szCs w:val="22"/>
              </w:rPr>
              <w:t>第一次监督审核</w:t>
            </w:r>
          </w:p>
          <w:p>
            <w:pPr>
              <w:pStyle w:val="4"/>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4"/>
              <w:spacing w:line="400" w:lineRule="exact"/>
              <w:ind w:firstLine="0"/>
              <w:rPr>
                <w:rFonts w:ascii="宋体" w:hAnsi="宋体"/>
                <w:b/>
                <w:color w:val="000000" w:themeColor="text1"/>
                <w:sz w:val="24"/>
                <w:szCs w:val="24"/>
                <w14:textFill>
                  <w14:solidFill>
                    <w14:schemeClr w14:val="tx1"/>
                  </w14:solidFill>
                </w14:textFill>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4"/>
              <w:spacing w:line="400" w:lineRule="exact"/>
              <w:ind w:firstLine="0"/>
              <w:rPr>
                <w:rFonts w:ascii="宋体" w:hAnsi="宋体"/>
                <w:b/>
                <w:color w:val="000000" w:themeColor="text1"/>
                <w:szCs w:val="24"/>
                <w14:textFill>
                  <w14:solidFill>
                    <w14:schemeClr w14:val="tx1"/>
                  </w14:solidFill>
                </w14:textFill>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4"/>
              <w:spacing w:line="320" w:lineRule="exact"/>
              <w:ind w:firstLine="0"/>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4"/>
              <w:spacing w:line="400" w:lineRule="exact"/>
              <w:ind w:firstLine="0"/>
              <w:rPr>
                <w:sz w:val="20"/>
                <w:szCs w:val="22"/>
              </w:rPr>
            </w:pPr>
          </w:p>
        </w:tc>
        <w:tc>
          <w:tcPr>
            <w:tcW w:w="4735" w:type="dxa"/>
          </w:tcPr>
          <w:p>
            <w:pPr>
              <w:pStyle w:val="4"/>
              <w:spacing w:line="320" w:lineRule="exact"/>
              <w:ind w:firstLine="0"/>
              <w:rPr>
                <w:b/>
                <w:bCs/>
                <w:sz w:val="20"/>
              </w:rPr>
            </w:pPr>
            <w:r>
              <w:rPr>
                <w:rFonts w:hint="eastAsia"/>
                <w:b/>
                <w:bCs/>
                <w:sz w:val="20"/>
              </w:rPr>
              <w:t>产量：</w:t>
            </w:r>
          </w:p>
          <w:p>
            <w:pPr>
              <w:pStyle w:val="4"/>
              <w:spacing w:line="320" w:lineRule="exact"/>
              <w:ind w:firstLine="0"/>
              <w:rPr>
                <w:rFonts w:ascii="宋体" w:hAnsi="宋体"/>
                <w:b/>
                <w:color w:val="000000" w:themeColor="text1"/>
                <w:szCs w:val="24"/>
                <w14:textFill>
                  <w14:solidFill>
                    <w14:schemeClr w14:val="tx1"/>
                  </w14:solidFill>
                </w14:textFill>
              </w:rPr>
            </w:pPr>
            <w:r>
              <w:rPr>
                <w:rFonts w:hint="eastAsia"/>
                <w:b/>
                <w:bCs/>
                <w:sz w:val="20"/>
              </w:rPr>
              <w:t>产值（万元）：</w:t>
            </w:r>
          </w:p>
        </w:tc>
        <w:tc>
          <w:tcPr>
            <w:tcW w:w="2835" w:type="dxa"/>
            <w:vMerge w:val="continue"/>
          </w:tcPr>
          <w:p>
            <w:pPr>
              <w:pStyle w:val="4"/>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4"/>
              <w:spacing w:line="400" w:lineRule="exact"/>
              <w:ind w:firstLine="0"/>
              <w:rPr>
                <w:sz w:val="20"/>
                <w:szCs w:val="22"/>
              </w:rPr>
            </w:pPr>
          </w:p>
        </w:tc>
        <w:tc>
          <w:tcPr>
            <w:tcW w:w="4735" w:type="dxa"/>
          </w:tcPr>
          <w:p>
            <w:pPr>
              <w:pStyle w:val="4"/>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4"/>
              <w:spacing w:line="320" w:lineRule="exact"/>
              <w:ind w:firstLine="0"/>
              <w:rPr>
                <w:rFonts w:ascii="宋体" w:hAnsi="宋体"/>
                <w:b/>
                <w:color w:val="000000" w:themeColor="text1"/>
                <w:szCs w:val="24"/>
                <w14:textFill>
                  <w14:solidFill>
                    <w14:schemeClr w14:val="tx1"/>
                  </w14:solidFill>
                </w14:textFill>
              </w:rPr>
            </w:pPr>
            <w:r>
              <w:rPr>
                <w:rFonts w:hint="eastAsia"/>
                <w:sz w:val="20"/>
                <w:szCs w:val="22"/>
              </w:rPr>
              <w:t xml:space="preserve"> </w:t>
            </w:r>
          </w:p>
        </w:tc>
        <w:tc>
          <w:tcPr>
            <w:tcW w:w="2835" w:type="dxa"/>
            <w:vMerge w:val="continue"/>
          </w:tcPr>
          <w:p>
            <w:pPr>
              <w:pStyle w:val="4"/>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4"/>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14:textFill>
                  <w14:solidFill>
                    <w14:schemeClr w14:val="tx1"/>
                  </w14:solidFill>
                </w14:textFill>
              </w:rPr>
            </w:pPr>
          </w:p>
        </w:tc>
        <w:tc>
          <w:tcPr>
            <w:tcW w:w="2835" w:type="dxa"/>
            <w:vMerge w:val="continue"/>
          </w:tcPr>
          <w:p>
            <w:pPr>
              <w:pStyle w:val="4"/>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4"/>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4"/>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4"/>
              <w:spacing w:line="400" w:lineRule="exact"/>
              <w:ind w:firstLine="0"/>
              <w:rPr>
                <w:sz w:val="20"/>
                <w:szCs w:val="22"/>
              </w:rPr>
            </w:pPr>
            <w:r>
              <w:rPr>
                <w:rFonts w:hint="eastAsia"/>
                <w:sz w:val="20"/>
                <w:szCs w:val="22"/>
              </w:rPr>
              <w:t>第二次监督审核</w:t>
            </w:r>
          </w:p>
          <w:p>
            <w:pPr>
              <w:pStyle w:val="4"/>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4"/>
              <w:spacing w:line="400" w:lineRule="exact"/>
              <w:ind w:firstLine="0"/>
              <w:rPr>
                <w:rFonts w:ascii="宋体" w:hAnsi="宋体"/>
                <w:b/>
                <w:color w:val="000000" w:themeColor="text1"/>
                <w:sz w:val="24"/>
                <w:szCs w:val="24"/>
                <w14:textFill>
                  <w14:solidFill>
                    <w14:schemeClr w14:val="tx1"/>
                  </w14:solidFill>
                </w14:textFill>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4"/>
              <w:spacing w:line="400" w:lineRule="exact"/>
              <w:ind w:firstLine="0"/>
              <w:rPr>
                <w:rFonts w:ascii="宋体" w:hAnsi="宋体"/>
                <w:b/>
                <w:color w:val="000000" w:themeColor="text1"/>
                <w:szCs w:val="24"/>
                <w14:textFill>
                  <w14:solidFill>
                    <w14:schemeClr w14:val="tx1"/>
                  </w14:solidFill>
                </w14:textFill>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4"/>
              <w:spacing w:line="320" w:lineRule="exact"/>
              <w:ind w:firstLine="0"/>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4"/>
              <w:spacing w:line="400" w:lineRule="exact"/>
              <w:ind w:firstLine="0"/>
              <w:rPr>
                <w:sz w:val="20"/>
                <w:szCs w:val="22"/>
              </w:rPr>
            </w:pPr>
          </w:p>
        </w:tc>
        <w:tc>
          <w:tcPr>
            <w:tcW w:w="4735" w:type="dxa"/>
          </w:tcPr>
          <w:p>
            <w:pPr>
              <w:pStyle w:val="4"/>
              <w:spacing w:line="320" w:lineRule="exact"/>
              <w:ind w:firstLine="0"/>
              <w:rPr>
                <w:b/>
                <w:bCs/>
                <w:sz w:val="20"/>
              </w:rPr>
            </w:pPr>
            <w:r>
              <w:rPr>
                <w:rFonts w:hint="eastAsia"/>
                <w:b/>
                <w:bCs/>
                <w:sz w:val="20"/>
              </w:rPr>
              <w:t>产量：</w:t>
            </w:r>
          </w:p>
          <w:p>
            <w:pPr>
              <w:pStyle w:val="4"/>
              <w:spacing w:line="320" w:lineRule="exact"/>
              <w:ind w:firstLine="0"/>
              <w:rPr>
                <w:rFonts w:ascii="宋体" w:hAnsi="宋体"/>
                <w:b/>
                <w:color w:val="000000" w:themeColor="text1"/>
                <w:szCs w:val="24"/>
                <w14:textFill>
                  <w14:solidFill>
                    <w14:schemeClr w14:val="tx1"/>
                  </w14:solidFill>
                </w14:textFill>
              </w:rPr>
            </w:pPr>
            <w:r>
              <w:rPr>
                <w:rFonts w:hint="eastAsia"/>
                <w:b/>
                <w:bCs/>
                <w:sz w:val="20"/>
              </w:rPr>
              <w:t>产值（万元）：</w:t>
            </w:r>
          </w:p>
        </w:tc>
        <w:tc>
          <w:tcPr>
            <w:tcW w:w="2835" w:type="dxa"/>
            <w:vMerge w:val="continue"/>
          </w:tcPr>
          <w:p>
            <w:pPr>
              <w:pStyle w:val="4"/>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4"/>
              <w:spacing w:line="400" w:lineRule="exact"/>
              <w:ind w:firstLine="0"/>
              <w:rPr>
                <w:sz w:val="20"/>
                <w:szCs w:val="22"/>
              </w:rPr>
            </w:pPr>
          </w:p>
        </w:tc>
        <w:tc>
          <w:tcPr>
            <w:tcW w:w="4735" w:type="dxa"/>
          </w:tcPr>
          <w:p>
            <w:pPr>
              <w:pStyle w:val="4"/>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4"/>
              <w:spacing w:line="320" w:lineRule="exact"/>
              <w:ind w:firstLine="0"/>
              <w:rPr>
                <w:rFonts w:ascii="宋体" w:hAnsi="宋体"/>
                <w:b/>
                <w:color w:val="000000" w:themeColor="text1"/>
                <w:szCs w:val="24"/>
                <w14:textFill>
                  <w14:solidFill>
                    <w14:schemeClr w14:val="tx1"/>
                  </w14:solidFill>
                </w14:textFill>
              </w:rPr>
            </w:pPr>
            <w:r>
              <w:rPr>
                <w:rFonts w:hint="eastAsia"/>
                <w:sz w:val="20"/>
                <w:szCs w:val="22"/>
              </w:rPr>
              <w:t xml:space="preserve"> </w:t>
            </w:r>
          </w:p>
        </w:tc>
        <w:tc>
          <w:tcPr>
            <w:tcW w:w="2835" w:type="dxa"/>
            <w:vMerge w:val="continue"/>
          </w:tcPr>
          <w:p>
            <w:pPr>
              <w:pStyle w:val="4"/>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4"/>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14:textFill>
                  <w14:solidFill>
                    <w14:schemeClr w14:val="tx1"/>
                  </w14:solidFill>
                </w14:textFill>
              </w:rPr>
            </w:pPr>
          </w:p>
        </w:tc>
        <w:tc>
          <w:tcPr>
            <w:tcW w:w="2835" w:type="dxa"/>
            <w:vMerge w:val="continue"/>
          </w:tcPr>
          <w:p>
            <w:pPr>
              <w:pStyle w:val="4"/>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4"/>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4"/>
              <w:spacing w:line="320" w:lineRule="exact"/>
              <w:ind w:firstLine="0"/>
              <w:rPr>
                <w:sz w:val="20"/>
              </w:rPr>
            </w:pPr>
          </w:p>
        </w:tc>
      </w:tr>
    </w:tbl>
    <w:p>
      <w:pPr>
        <w:pStyle w:val="4"/>
        <w:spacing w:line="0" w:lineRule="atLeast"/>
        <w:ind w:firstLine="0"/>
        <w:rPr>
          <w:b/>
          <w:color w:val="000000" w:themeColor="text1"/>
          <w:sz w:val="18"/>
          <w:szCs w:val="18"/>
          <w:lang w:val="en-GB"/>
          <w14:textFill>
            <w14:solidFill>
              <w14:schemeClr w14:val="tx1"/>
            </w14:solidFill>
          </w14:textFill>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2540" r="0" b="0"/>
              <wp:wrapNone/>
              <wp:docPr id="2"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rot="0" vert="horz" wrap="square" lIns="91440" tIns="45720" rIns="91440" bIns="45720" anchor="t" anchorCtr="0" upright="1">
                      <a:noAutofit/>
                    </wps:bodyPr>
                  </wps:wsp>
                </a:graphicData>
              </a:graphic>
            </wp:anchor>
          </w:drawing>
        </mc:Choice>
        <mc:Fallback>
          <w:pict>
            <v:shape id="Text Box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UAsCNgAAAAJ&#10;AQAADwAAAAAAAAABACAAAAAiAAAAZHJzL2Rvd25yZXYueG1sUEsBAhQAFAAAAAgAh07iQJ85y2cc&#10;AgAAQAQAAA4AAAAAAAAAAQAgAAAAJwEAAGRycy9lMm9Eb2MueG1sUEsFBgAAAAAGAAYAWQEAALUF&#10;A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8"/>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EB"/>
    <w:rsid w:val="003D4FC4"/>
    <w:rsid w:val="00421AEE"/>
    <w:rsid w:val="00430AA1"/>
    <w:rsid w:val="005D0018"/>
    <w:rsid w:val="00AA14EB"/>
    <w:rsid w:val="00CF4F80"/>
    <w:rsid w:val="19686264"/>
    <w:rsid w:val="3159326F"/>
    <w:rsid w:val="49C04FB9"/>
    <w:rsid w:val="706A2F73"/>
    <w:rsid w:val="72E049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styleId="3">
    <w:name w:val="Body Text"/>
    <w:basedOn w:val="1"/>
    <w:qFormat/>
    <w:uiPriority w:val="1"/>
    <w:pPr>
      <w:autoSpaceDE w:val="0"/>
      <w:autoSpaceDN w:val="0"/>
      <w:spacing w:before="92"/>
      <w:ind w:left="980" w:firstLine="480"/>
      <w:jc w:val="left"/>
    </w:pPr>
    <w:rPr>
      <w:rFonts w:ascii="宋体" w:hAnsi="宋体" w:cs="宋体"/>
      <w:kern w:val="0"/>
      <w:szCs w:val="24"/>
      <w:lang w:val="zh-CN" w:bidi="zh-CN"/>
    </w:rPr>
  </w:style>
  <w:style w:type="paragraph" w:styleId="4">
    <w:name w:val="Body Text Indent"/>
    <w:basedOn w:val="1"/>
    <w:link w:val="10"/>
    <w:qFormat/>
    <w:uiPriority w:val="0"/>
    <w:pPr>
      <w:snapToGrid w:val="0"/>
      <w:spacing w:line="336" w:lineRule="auto"/>
      <w:ind w:firstLine="630"/>
    </w:pPr>
    <w:rPr>
      <w:sz w:val="32"/>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正文文本缩进 字符"/>
    <w:basedOn w:val="9"/>
    <w:link w:val="4"/>
    <w:qFormat/>
    <w:uiPriority w:val="0"/>
    <w:rPr>
      <w:rFonts w:ascii="Times New Roman" w:hAnsi="Times New Roman" w:eastAsia="宋体" w:cs="Times New Roman"/>
      <w:sz w:val="32"/>
      <w:szCs w:val="20"/>
    </w:rPr>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apple-converted-space"/>
    <w:basedOn w:val="9"/>
    <w:qFormat/>
    <w:uiPriority w:val="0"/>
  </w:style>
  <w:style w:type="paragraph" w:customStyle="1" w:styleId="15">
    <w:name w:val="Body 9pt Bold"/>
    <w:basedOn w:val="1"/>
    <w:qFormat/>
    <w:uiPriority w:val="0"/>
    <w:pPr>
      <w:ind w:left="170"/>
    </w:pPr>
    <w:rPr>
      <w:b/>
      <w:sz w:val="18"/>
    </w:rPr>
  </w:style>
  <w:style w:type="paragraph" w:customStyle="1" w:styleId="16">
    <w:name w:val="Body 8pt Feeder"/>
    <w:basedOn w:val="1"/>
    <w:next w:val="1"/>
    <w:qFormat/>
    <w:uiPriority w:val="0"/>
    <w:pPr>
      <w:spacing w:before="40" w:after="40"/>
      <w:ind w:left="284" w:right="284"/>
    </w:pPr>
    <w:rPr>
      <w:sz w:val="16"/>
    </w:rPr>
  </w:style>
  <w:style w:type="paragraph" w:customStyle="1" w:styleId="17">
    <w:name w:val="Body 7pt"/>
    <w:basedOn w:val="1"/>
    <w:qFormat/>
    <w:uiPriority w:val="0"/>
    <w:pPr>
      <w:spacing w:before="40" w:after="40"/>
      <w:jc w:val="left"/>
    </w:pPr>
    <w:rPr>
      <w:sz w:val="14"/>
    </w:rPr>
  </w:style>
  <w:style w:type="paragraph" w:customStyle="1" w:styleId="18">
    <w:name w:val="Body 9pt"/>
    <w:basedOn w:val="1"/>
    <w:qFormat/>
    <w:uiPriority w:val="0"/>
    <w:pPr>
      <w:spacing w:before="40" w:after="40"/>
    </w:pPr>
    <w:rPr>
      <w:sz w:val="18"/>
    </w:rPr>
  </w:style>
  <w:style w:type="paragraph" w:customStyle="1" w:styleId="19">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380</Words>
  <Characters>2172</Characters>
  <Lines>18</Lines>
  <Paragraphs>5</Paragraphs>
  <TotalTime>2</TotalTime>
  <ScaleCrop>false</ScaleCrop>
  <LinksUpToDate>false</LinksUpToDate>
  <CharactersWithSpaces>2547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2021-09-08T05:18:00Z</dcterms:created>
  <dc:creator>微软用户</dc:creator>
  <cp:lastModifiedBy>Lenovo</cp:lastModifiedBy>
  <cp:lastPrinted>2019-05-13T03:13:00Z</cp:lastPrinted>
  <dcterms:modified xsi:type="dcterms:W3CDTF">2021-09-11T00:44:59Z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2052-11.1.0.10667</vt:lpwstr>
  </property>
</Properties>
</file>