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0941-2021-EnMs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成都联虹钼业有限公司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成都联虹钼业有限公司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四川省成都市龙泉区经济技术开发区南京路198号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四川省成都市龙泉区经济技术开发区南京路198号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黄超</w:t>
            </w:r>
            <w:bookmarkEnd w:id="10"/>
          </w:p>
        </w:tc>
        <w:tc>
          <w:tcPr>
            <w:tcW w:w="1313" w:type="dxa"/>
            <w:vAlign w:val="center"/>
          </w:tcPr>
          <w:p>
            <w:r>
              <w:rPr>
                <w:rFonts w:hint="eastAsia"/>
              </w:rPr>
              <w:t>电话.</w:t>
            </w:r>
          </w:p>
        </w:tc>
        <w:tc>
          <w:tcPr>
            <w:tcW w:w="2180" w:type="dxa"/>
            <w:vAlign w:val="center"/>
          </w:tcPr>
          <w:p>
            <w:bookmarkStart w:id="11" w:name="联系人电话"/>
            <w:r>
              <w:t>15528379979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李明琪</w:t>
            </w:r>
            <w:bookmarkEnd w:id="13"/>
          </w:p>
        </w:tc>
        <w:tc>
          <w:tcPr>
            <w:tcW w:w="1313" w:type="dxa"/>
            <w:vAlign w:val="center"/>
          </w:tcPr>
          <w:p>
            <w:r>
              <w:rPr>
                <w:rFonts w:hint="eastAsia"/>
              </w:rPr>
              <w:t>管理者代表</w:t>
            </w:r>
          </w:p>
        </w:tc>
        <w:tc>
          <w:tcPr>
            <w:tcW w:w="2180" w:type="dxa"/>
          </w:tcPr>
          <w:p>
            <w:bookmarkStart w:id="14" w:name="管理者代表"/>
            <w:r>
              <w:t>黄超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w:t>
            </w:r>
            <w:r>
              <w:rPr>
                <w:rFonts w:hint="eastAsia"/>
                <w:lang w:eastAsia="zh-CN"/>
              </w:rPr>
              <w:t>☑</w:t>
            </w:r>
            <w:r>
              <w:rPr>
                <w:rFonts w:hint="eastAsia"/>
              </w:rPr>
              <w:t xml:space="preserve">双班 </w:t>
            </w:r>
            <w:r>
              <w:rPr>
                <w:rFonts w:hint="eastAsia"/>
                <w:lang w:eastAsia="zh-CN"/>
              </w:rPr>
              <w:t>☑</w:t>
            </w:r>
            <w:r>
              <w:rPr>
                <w:rFonts w:hint="eastAsia"/>
              </w:rPr>
              <w:t>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drawing>
                <wp:inline distT="0" distB="0" distL="114300" distR="114300">
                  <wp:extent cx="2446020" cy="19126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46020" cy="1912620"/>
                          </a:xfrm>
                          <a:prstGeom prst="rect">
                            <a:avLst/>
                          </a:prstGeom>
                          <a:noFill/>
                          <a:ln>
                            <a:noFill/>
                          </a:ln>
                        </pic:spPr>
                      </pic:pic>
                    </a:graphicData>
                  </a:graphic>
                </wp:inline>
              </w:drawing>
            </w:r>
            <w:r>
              <w:drawing>
                <wp:inline distT="0" distB="0" distL="114300" distR="114300">
                  <wp:extent cx="2472055" cy="1663700"/>
                  <wp:effectExtent l="0" t="0" r="444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472055" cy="166370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2021年09月06日 下午至2021年09月08日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eastAsia="zh-CN"/>
              </w:rPr>
              <w:fldChar w:fldCharType="begin"/>
            </w:r>
            <w:r>
              <w:rPr>
                <w:rFonts w:hint="default" w:ascii="宋体" w:hAnsi="宋体" w:eastAsia="宋体" w:cs="Times New Roman"/>
                <w:b/>
                <w:sz w:val="21"/>
                <w:szCs w:val="21"/>
                <w:lang w:eastAsia="zh-CN"/>
              </w:rPr>
              <w:instrText xml:space="preserve"> HYPERLINK "https://max.book118.com/html/2017/1019/137483715.shtm" \t "https://www.so.com/_blank" </w:instrText>
            </w:r>
            <w:r>
              <w:rPr>
                <w:rFonts w:hint="default" w:ascii="宋体" w:hAnsi="宋体" w:eastAsia="宋体" w:cs="Times New Roman"/>
                <w:b/>
                <w:sz w:val="21"/>
                <w:szCs w:val="21"/>
                <w:lang w:eastAsia="zh-CN"/>
              </w:rPr>
              <w:fldChar w:fldCharType="separate"/>
            </w:r>
            <w:r>
              <w:rPr>
                <w:rFonts w:hint="default" w:ascii="宋体" w:hAnsi="宋体" w:eastAsia="宋体" w:cs="Times New Roman"/>
                <w:b/>
                <w:sz w:val="21"/>
                <w:szCs w:val="21"/>
                <w:lang w:eastAsia="zh-CN"/>
              </w:rPr>
              <w:t>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eastAsia="zh-CN"/>
              </w:rPr>
              <w:t>有色金属企业认证要求</w:t>
            </w:r>
            <w:r>
              <w:rPr>
                <w:rFonts w:hint="default" w:ascii="宋体" w:hAnsi="宋体" w:eastAsia="宋体" w:cs="Times New Roman"/>
                <w:b/>
                <w:sz w:val="21"/>
                <w:szCs w:val="21"/>
                <w:lang w:eastAsia="zh-CN"/>
              </w:rPr>
              <w:fldChar w:fldCharType="end"/>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钼坯、钼板、钨板及其他钨、钼相关制品的设计开发、生产和售后服务所涉及的能源管理活动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成都联虹钼业有限公司</w:t>
            </w:r>
            <w:r>
              <w:rPr>
                <w:rFonts w:hint="eastAsia"/>
                <w:lang w:val="en-US" w:eastAsia="zh-CN"/>
              </w:rPr>
              <w:t>/</w:t>
            </w:r>
            <w:r>
              <w:t>四川省成都市龙泉区经济技术开发区南京路198号</w:t>
            </w:r>
          </w:p>
        </w:tc>
        <w:tc>
          <w:tcPr>
            <w:tcW w:w="2267" w:type="dxa"/>
          </w:tcPr>
          <w:p>
            <w:pPr>
              <w:rPr>
                <w:lang w:val="de-DE" w:eastAsia="ja-JP"/>
              </w:rPr>
            </w:pPr>
            <w:r>
              <w:t>四川省成都市龙泉区经济技术开发区南京路198号</w:t>
            </w:r>
          </w:p>
        </w:tc>
        <w:tc>
          <w:tcPr>
            <w:tcW w:w="571" w:type="dxa"/>
            <w:vAlign w:val="center"/>
          </w:tcPr>
          <w:p>
            <w:pPr>
              <w:rPr>
                <w:rFonts w:hint="default" w:eastAsia="宋体"/>
                <w:lang w:val="en-US" w:eastAsia="zh-CN"/>
              </w:rPr>
            </w:pPr>
            <w:r>
              <w:rPr>
                <w:rFonts w:hint="eastAsia"/>
                <w:lang w:val="en-US" w:eastAsia="zh-CN"/>
              </w:rPr>
              <w:t>100</w:t>
            </w:r>
          </w:p>
        </w:tc>
        <w:tc>
          <w:tcPr>
            <w:tcW w:w="2803" w:type="dxa"/>
            <w:vAlign w:val="center"/>
          </w:tcPr>
          <w:p>
            <w:pPr>
              <w:rPr>
                <w:lang w:eastAsia="ja-JP"/>
              </w:rPr>
            </w:pPr>
            <w:r>
              <w:t>钼坯、钼板、钨板及其他钨、钼相关制品的设计开发、生产和售后服务所涉及的能源管理活动</w:t>
            </w:r>
          </w:p>
        </w:tc>
        <w:tc>
          <w:tcPr>
            <w:tcW w:w="669" w:type="dxa"/>
            <w:vAlign w:val="center"/>
          </w:tcPr>
          <w:p>
            <w:pPr>
              <w:rPr>
                <w:sz w:val="15"/>
                <w:szCs w:val="15"/>
                <w:lang w:eastAsia="ja-JP"/>
              </w:rPr>
            </w:pPr>
            <w:r>
              <w:rPr>
                <w:rFonts w:hint="eastAsia"/>
                <w:sz w:val="15"/>
                <w:szCs w:val="15"/>
              </w:rPr>
              <w:t>/</w:t>
            </w:r>
            <w:r>
              <w:rPr>
                <w:rFonts w:hint="eastAsia"/>
                <w:sz w:val="15"/>
                <w:szCs w:val="15"/>
                <w:lang w:val="de-DE"/>
              </w:rPr>
              <w:t>ISO50001：2018</w:t>
            </w: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2018-N1EnMS-1072033</w:t>
            </w:r>
          </w:p>
        </w:tc>
        <w:tc>
          <w:tcPr>
            <w:tcW w:w="2179" w:type="dxa"/>
            <w:vAlign w:val="center"/>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bookmarkStart w:id="34" w:name="_GoBack"/>
            <w:bookmarkEnd w:id="34"/>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rPr>
              <w:drawing>
                <wp:anchor distT="0" distB="0" distL="114300" distR="114300" simplePos="0" relativeHeight="251661312" behindDoc="0" locked="0" layoutInCell="1" allowOverlap="1">
                  <wp:simplePos x="0" y="0"/>
                  <wp:positionH relativeFrom="column">
                    <wp:posOffset>531495</wp:posOffset>
                  </wp:positionH>
                  <wp:positionV relativeFrom="page">
                    <wp:posOffset>17145</wp:posOffset>
                  </wp:positionV>
                  <wp:extent cx="570230" cy="435610"/>
                  <wp:effectExtent l="0" t="0" r="1270" b="8890"/>
                  <wp:wrapSquare wrapText="bothSides"/>
                  <wp:docPr id="6"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 xml:space="preserve">自然环境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 □建立机制 □法规宣传 □风险机遇的应对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遵守法规、清洁生产；节能降耗、创新改造；能耗限额、持续改进。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 xml:space="preserve">能源管理团队 </w:t>
            </w:r>
            <w:r>
              <w:rPr>
                <w:rFonts w:hint="eastAsia"/>
                <w:lang w:eastAsia="zh-CN"/>
              </w:rPr>
              <w:t>☑</w:t>
            </w:r>
            <w:r>
              <w:rPr>
                <w:rFonts w:hint="eastAsia"/>
                <w:lang w:val="en-US" w:eastAsia="zh-CN"/>
              </w:rPr>
              <w:t>安全环保部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叶国良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w:t>
            </w:r>
            <w:r>
              <w:rPr>
                <w:rFonts w:hint="eastAsia"/>
                <w:lang w:eastAsia="zh-CN"/>
              </w:rPr>
              <w:t>☑</w:t>
            </w:r>
            <w:r>
              <w:rPr>
                <w:rFonts w:hint="eastAsia"/>
              </w:rPr>
              <w:t xml:space="preserve">天然气 □燃料油  □燃料气 </w:t>
            </w:r>
            <w:r>
              <w:rPr>
                <w:rFonts w:hint="eastAsia"/>
                <w:lang w:eastAsia="zh-CN"/>
              </w:rPr>
              <w:t>☑</w:t>
            </w:r>
            <w:r>
              <w:rPr>
                <w:rFonts w:hint="eastAsia"/>
              </w:rPr>
              <w:t xml:space="preserve">电力  </w:t>
            </w:r>
            <w:r>
              <w:rPr>
                <w:rFonts w:hint="eastAsia"/>
                <w:lang w:eastAsia="zh-CN"/>
              </w:rPr>
              <w:t>☑</w:t>
            </w:r>
            <w:r>
              <w:rPr>
                <w:rFonts w:hint="eastAsia"/>
              </w:rPr>
              <w:t xml:space="preserve">氮气 □风  </w:t>
            </w:r>
            <w:r>
              <w:rPr>
                <w:rFonts w:hint="eastAsia"/>
                <w:lang w:eastAsia="zh-CN"/>
              </w:rPr>
              <w:t>☑</w:t>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w:t>
            </w:r>
            <w:r>
              <w:rPr>
                <w:rFonts w:hint="eastAsia"/>
                <w:lang w:eastAsia="zh-CN"/>
              </w:rPr>
              <w:t>☑</w:t>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3124"/>
              <w:gridCol w:w="1643"/>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2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64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481"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shd w:val="clear" w:color="auto" w:fill="EBF1DE" w:themeFill="accent3" w:themeFillTint="32"/>
                    <w:jc w:val="left"/>
                    <w:rPr>
                      <w:rFonts w:hint="default" w:eastAsia="宋体"/>
                      <w:lang w:val="en-US" w:eastAsia="zh-CN"/>
                    </w:rPr>
                  </w:pPr>
                  <w:r>
                    <w:rPr>
                      <w:rFonts w:hint="eastAsia"/>
                      <w:lang w:val="en-US" w:eastAsia="zh-CN"/>
                    </w:rPr>
                    <w:t>单位产品能耗</w:t>
                  </w:r>
                  <w:r>
                    <w:rPr>
                      <w:rFonts w:hint="eastAsia" w:ascii="宋体" w:hAnsi="宋体" w:eastAsia="宋体" w:cs="宋体"/>
                      <w:lang w:val="en-US" w:eastAsia="zh-CN"/>
                    </w:rPr>
                    <w:t>≦</w:t>
                  </w:r>
                  <w:r>
                    <w:rPr>
                      <w:rFonts w:hint="eastAsia" w:ascii="宋体" w:hAnsi="宋体" w:cs="宋体"/>
                      <w:lang w:val="en-US" w:eastAsia="zh-CN"/>
                    </w:rPr>
                    <w:t>1.48kgce/kg</w:t>
                  </w:r>
                </w:p>
              </w:tc>
              <w:tc>
                <w:tcPr>
                  <w:tcW w:w="3124" w:type="dxa"/>
                  <w:shd w:val="clear" w:color="auto" w:fill="auto"/>
                  <w:vAlign w:val="center"/>
                </w:tcPr>
                <w:p>
                  <w:pPr>
                    <w:shd w:val="clear" w:color="auto" w:fill="EBF1DE" w:themeFill="accent3" w:themeFillTint="32"/>
                    <w:rPr>
                      <w:rFonts w:hint="default"/>
                      <w:lang w:val="en-GB" w:eastAsia="zh-CN"/>
                    </w:rPr>
                  </w:pPr>
                  <w:r>
                    <w:rPr>
                      <w:rFonts w:hint="eastAsia"/>
                      <w:lang w:val="en-US" w:eastAsia="zh-CN"/>
                    </w:rPr>
                    <w:t>1、加强设备的节约用电，加强设备的正常运转管理。</w:t>
                  </w:r>
                </w:p>
              </w:tc>
              <w:tc>
                <w:tcPr>
                  <w:tcW w:w="1643"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制坯部、板材及制品部</w:t>
                  </w:r>
                </w:p>
              </w:tc>
              <w:tc>
                <w:tcPr>
                  <w:tcW w:w="1481"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2020年单位产品能耗为1.39</w:t>
                  </w:r>
                  <w:r>
                    <w:rPr>
                      <w:rFonts w:hint="eastAsia" w:ascii="宋体" w:hAnsi="宋体" w:cs="宋体"/>
                      <w:lang w:val="en-US" w:eastAsia="zh-CN"/>
                    </w:rPr>
                    <w:t>kgce/kg</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宋体" w:hAnsi="宋体" w:cs="Times New Roman"/>
                <w:kern w:val="2"/>
                <w:sz w:val="21"/>
                <w:szCs w:val="22"/>
                <w:u w:val="single"/>
                <w:lang w:val="en-US" w:eastAsia="zh-CN" w:bidi="ar-SA"/>
              </w:rPr>
              <w:t>中频炉、加热炉、退火炉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ascii="宋体" w:hAnsi="宋体" w:cs="Times New Roman"/>
                <w:kern w:val="2"/>
                <w:sz w:val="21"/>
                <w:szCs w:val="22"/>
                <w:u w:val="single"/>
                <w:lang w:val="en-US" w:eastAsia="zh-CN" w:bidi="ar-SA"/>
              </w:rPr>
              <w:t>中频炉、加热炉、退火炉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电表、水表、气表</w:t>
            </w:r>
            <w:r>
              <w:rPr>
                <w:rFonts w:hint="eastAsia"/>
                <w:u w:val="single"/>
              </w:rPr>
              <w:t>（列举1~4种）</w:t>
            </w:r>
          </w:p>
          <w:p>
            <w:pPr>
              <w:shd w:val="clear" w:color="auto" w:fill="EBF1DE" w:themeFill="accent3"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ascii="Wingdings" w:hAnsi="Wingdings"/>
                <w:color w:val="auto"/>
                <w:lang w:eastAsia="zh-CN"/>
              </w:rPr>
              <w:t>☑</w:t>
            </w:r>
            <w:r>
              <w:rPr>
                <w:rFonts w:hint="eastAsia"/>
                <w:color w:val="auto"/>
              </w:rPr>
              <w:t xml:space="preserve">操作规程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工艺卡片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ascii="Times New Roman" w:hAnsi="Times New Roman" w:eastAsia="宋体" w:cs="Times New Roman"/>
                <w:u w:val="single"/>
                <w:lang w:val="en-US" w:eastAsia="zh-CN"/>
              </w:rPr>
              <w:t>方形中频炉开发项目，项目编号：2021LHPD001-11</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能源采购 </w:t>
            </w:r>
            <w:r>
              <w:rPr>
                <w:rFonts w:hint="eastAsia" w:ascii="Wingdings" w:hAnsi="Wingdings"/>
                <w:lang w:eastAsia="zh-CN"/>
              </w:rPr>
              <w:t>☑</w:t>
            </w:r>
            <w:r>
              <w:rPr>
                <w:rFonts w:hint="eastAsia"/>
              </w:rPr>
              <w:t xml:space="preserve">主要用能设备采购  </w:t>
            </w:r>
            <w:r>
              <w:rPr>
                <w:rFonts w:hint="eastAsia" w:ascii="Wingdings" w:hAnsi="Wingdings"/>
                <w:lang w:eastAsia="zh-CN"/>
              </w:rPr>
              <w:t>☑</w:t>
            </w:r>
            <w:r>
              <w:rPr>
                <w:rFonts w:hint="eastAsia"/>
              </w:rPr>
              <w:t xml:space="preserve">淘汰落后设备更新 </w:t>
            </w:r>
            <w:r>
              <w:rPr>
                <w:rFonts w:hint="eastAsia" w:ascii="Wingdings" w:hAnsi="Wingdings"/>
                <w:lang w:eastAsia="zh-CN"/>
              </w:rPr>
              <w:t>☑</w:t>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充分燃烧、杜绝跑冒滴漏。</w:t>
                  </w:r>
                </w:p>
              </w:tc>
              <w:tc>
                <w:tcPr>
                  <w:tcW w:w="3265" w:type="dxa"/>
                </w:tcPr>
                <w:p>
                  <w:pPr>
                    <w:shd w:val="clear" w:color="auto" w:fill="EBF1DE" w:themeFill="accent3" w:themeFillTint="32"/>
                    <w:jc w:val="left"/>
                    <w:rPr>
                      <w:rFonts w:hint="eastAsia" w:eastAsia="宋体"/>
                      <w:lang w:val="en-US" w:eastAsia="zh-CN"/>
                    </w:rPr>
                  </w:pPr>
                  <w:r>
                    <w:rPr>
                      <w:rFonts w:hint="eastAsia"/>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加强用电管理，利用电的谷峰进行生产，保证能耗设备的正常运转。</w:t>
                  </w:r>
                </w:p>
              </w:tc>
              <w:tc>
                <w:tcPr>
                  <w:tcW w:w="3265" w:type="dxa"/>
                </w:tcPr>
                <w:p>
                  <w:pPr>
                    <w:shd w:val="clear" w:color="auto" w:fill="EBF1DE" w:themeFill="accent3" w:themeFillTint="32"/>
                    <w:jc w:val="left"/>
                  </w:pPr>
                  <w:r>
                    <w:rPr>
                      <w:rFonts w:hint="eastAsia"/>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组织在适当阶段实施策划的安排，以验证能源法律法规的要求已得到满足。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实施的检测：</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企业自测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第三方监测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《能效测试报告》编号：</w:t>
            </w:r>
            <w:r>
              <w:rPr>
                <w:rFonts w:hint="eastAsia" w:ascii="Times New Roman" w:hAnsi="Times New Roman" w:eastAsia="宋体" w:cs="Times New Roman"/>
                <w:u w:val="single"/>
              </w:rPr>
              <w:t xml:space="preserve">                                </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达标评价：</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符合要求 </w:t>
            </w:r>
            <w:r>
              <w:rPr>
                <w:rFonts w:hint="eastAsia" w:ascii="Times New Roman" w:hAnsi="Times New Roman" w:eastAsia="宋体" w:cs="Times New Roman"/>
                <w:lang w:eastAsia="zh-CN"/>
              </w:rPr>
              <w:t>□</w:t>
            </w:r>
            <w:r>
              <w:rPr>
                <w:rFonts w:hint="eastAsia" w:ascii="Times New Roman" w:hAnsi="Times New Roman" w:eastAsia="宋体" w:cs="Times New Roman"/>
              </w:rPr>
              <w:t>存在不足，说明</w:t>
            </w:r>
            <w:r>
              <w:rPr>
                <w:rFonts w:hint="eastAsia" w:ascii="Times New Roman" w:hAnsi="Times New Roman" w:eastAsia="宋体" w:cs="Times New Roman"/>
                <w:lang w:eastAsia="zh-CN"/>
              </w:rPr>
              <w:t>：</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EE2932"/>
    <w:rsid w:val="31CD091C"/>
    <w:rsid w:val="41010A3B"/>
    <w:rsid w:val="5BB83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3</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2021-09-11T01:19:13Z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