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376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376" w:type="dxa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运营管理部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叶国良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黄超</w:t>
            </w:r>
          </w:p>
        </w:tc>
        <w:tc>
          <w:tcPr>
            <w:tcW w:w="1213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376" w:type="dxa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王宁敏</w:t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2021-9-7  13:00-17:00</w:t>
            </w:r>
          </w:p>
        </w:tc>
        <w:tc>
          <w:tcPr>
            <w:tcW w:w="121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376" w:type="dxa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审核条款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：5.3 组织的岗位、职责和权限、6.2 目标、能源指及其实现的策划、8.1 运行的策划和控制、8.3采购、10.1不符合与纠正措施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21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3" w:hRule="atLeast"/>
        </w:trPr>
        <w:tc>
          <w:tcPr>
            <w:tcW w:w="21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Chars="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1.组织的岗位、职责和权限，</w:t>
            </w:r>
          </w:p>
          <w:p>
            <w:pPr>
              <w:pStyle w:val="6"/>
              <w:ind w:left="0" w:leftChars="0" w:firstLine="0" w:firstLineChars="0"/>
            </w:pPr>
            <w:r>
              <w:rPr>
                <w:rFonts w:hint="eastAsia"/>
                <w:lang w:val="en-US" w:eastAsia="zh-CN"/>
              </w:rPr>
              <w:t>2.目标、能源指及其实现的策划</w:t>
            </w:r>
          </w:p>
        </w:tc>
        <w:tc>
          <w:tcPr>
            <w:tcW w:w="960" w:type="dxa"/>
          </w:tcPr>
          <w:p>
            <w:r>
              <w:rPr>
                <w:rFonts w:hint="eastAsia" w:ascii="宋体" w:hAnsi="宋体" w:eastAsia="宋体" w:cs="Times New Roman"/>
                <w:sz w:val="21"/>
                <w:szCs w:val="21"/>
              </w:rPr>
              <w:t>5.3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6.2</w:t>
            </w:r>
          </w:p>
        </w:tc>
        <w:tc>
          <w:tcPr>
            <w:tcW w:w="10376" w:type="dxa"/>
          </w:tcPr>
          <w:p>
            <w:pPr>
              <w:rPr>
                <w:rFonts w:hint="default" w:ascii="Times New Roman" w:hAnsi="Times New Roman" w:eastAsia="宋体" w:cs="Times New Roman"/>
                <w:szCs w:val="22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eastAsia="宋体" w:cs="Times New Roman"/>
                <w:szCs w:val="22"/>
                <w:lang w:val="en-US" w:eastAsia="zh-CN"/>
              </w:rPr>
              <w:t xml:space="preserve"> 1、</w:t>
            </w:r>
            <w:r>
              <w:rPr>
                <w:rFonts w:hint="eastAsia" w:cs="Times New Roman"/>
                <w:szCs w:val="22"/>
                <w:lang w:val="en-US" w:eastAsia="zh-CN"/>
              </w:rPr>
              <w:t>运营管理</w:t>
            </w:r>
            <w:r>
              <w:rPr>
                <w:rFonts w:hint="eastAsia" w:ascii="Times New Roman" w:hAnsi="Times New Roman" w:eastAsia="宋体" w:cs="Times New Roman"/>
                <w:szCs w:val="22"/>
                <w:lang w:val="en-US" w:eastAsia="zh-CN"/>
              </w:rPr>
              <w:t>部：主管领导：叶国良，</w:t>
            </w:r>
            <w:r>
              <w:rPr>
                <w:rFonts w:hint="eastAsia"/>
                <w:lang w:val="en-US" w:eastAsia="zh-CN"/>
              </w:rPr>
              <w:t>提供部门及岗位职责</w:t>
            </w:r>
            <w:r>
              <w:rPr>
                <w:rFonts w:hint="eastAsia" w:ascii="Times New Roman" w:hAnsi="Times New Roman" w:eastAsia="宋体" w:cs="Times New Roman"/>
                <w:szCs w:val="22"/>
                <w:lang w:val="en-US" w:eastAsia="zh-CN"/>
              </w:rPr>
              <w:t xml:space="preserve">，共 </w:t>
            </w:r>
            <w:r>
              <w:rPr>
                <w:rFonts w:hint="eastAsia" w:cs="Times New Roman"/>
                <w:szCs w:val="22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szCs w:val="22"/>
                <w:lang w:val="en-US" w:eastAsia="zh-CN"/>
              </w:rPr>
              <w:t>2 人。</w:t>
            </w:r>
          </w:p>
          <w:p>
            <w:pPr>
              <w:ind w:firstLine="420" w:firstLineChars="200"/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部门能源职责：运营管理部经理、运管部经理助理、机械工程师、运营管理专员、电气工程师、维修组长、维修副组长、钳工；供应商管理（负责对供应商进行考察、选择、评定，以及监督管理工作, 并组织相关部门进行样品试验、样品评价等工作, 与供方进行沟通、协调,每年底制订下一年度拟开发供应商和项目计划）。物料开发。采购计划。采购作业。进度控制。仓储管理。完成上级领导交办的其他任务等共11条。</w:t>
            </w:r>
          </w:p>
          <w:p>
            <w:pPr>
              <w:ind w:firstLine="420" w:firstLineChars="200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2、提供</w:t>
            </w:r>
            <w:r>
              <w:rPr>
                <w:rFonts w:hint="eastAsia"/>
                <w:lang w:val="en-US" w:eastAsia="zh-CN"/>
              </w:rPr>
              <w:t>运营管理部</w:t>
            </w:r>
            <w:r>
              <w:rPr>
                <w:rFonts w:hint="eastAsia"/>
                <w:szCs w:val="22"/>
                <w:lang w:val="en-US" w:eastAsia="zh-CN"/>
              </w:rPr>
              <w:t>能源管理目标是：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保证公司二个目标指标的完成，</w:t>
            </w:r>
          </w:p>
          <w:p>
            <w:pPr>
              <w:pStyle w:val="6"/>
              <w:ind w:left="840" w:leftChars="40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/>
                <w:szCs w:val="22"/>
                <w:lang w:val="en-US" w:eastAsia="zh-CN"/>
              </w:rPr>
              <w:t>2021年能源管理体系目标指标为：公司级：单位产品能耗</w:t>
            </w:r>
            <w:r>
              <w:rPr>
                <w:rFonts w:hint="eastAsia" w:ascii="宋体" w:hAnsi="宋体" w:eastAsia="宋体" w:cs="宋体"/>
                <w:szCs w:val="22"/>
                <w:lang w:val="en-US" w:eastAsia="zh-CN"/>
              </w:rPr>
              <w:t>≦</w:t>
            </w:r>
            <w:r>
              <w:rPr>
                <w:rFonts w:hint="eastAsia"/>
                <w:szCs w:val="22"/>
                <w:lang w:val="en-US" w:eastAsia="zh-CN"/>
              </w:rPr>
              <w:t>1.38kgce/kg</w:t>
            </w:r>
          </w:p>
          <w:p>
            <w:pPr>
              <w:pStyle w:val="6"/>
              <w:ind w:left="0" w:leftChars="0" w:firstLine="420" w:firstLineChars="200"/>
              <w:rPr>
                <w:rFonts w:hint="default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 xml:space="preserve">    查阅相关记录，全部完成。</w:t>
            </w:r>
          </w:p>
        </w:tc>
        <w:tc>
          <w:tcPr>
            <w:tcW w:w="121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1" w:hRule="atLeast"/>
        </w:trPr>
        <w:tc>
          <w:tcPr>
            <w:tcW w:w="216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</w:t>
            </w:r>
            <w:r>
              <w:rPr>
                <w:rFonts w:hint="eastAsia"/>
              </w:rPr>
              <w:t>运行的策划和控制</w:t>
            </w:r>
            <w:r>
              <w:rPr>
                <w:rFonts w:hint="eastAsia"/>
                <w:lang w:val="en-US" w:eastAsia="zh-CN"/>
              </w:rPr>
              <w:t>；</w:t>
            </w:r>
          </w:p>
          <w:p>
            <w:pPr>
              <w:pStyle w:val="6"/>
              <w:numPr>
                <w:ilvl w:val="0"/>
                <w:numId w:val="0"/>
              </w:numPr>
              <w:ind w:leftChars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采购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8.1</w:t>
            </w: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/8.3</w:t>
            </w:r>
          </w:p>
        </w:tc>
        <w:tc>
          <w:tcPr>
            <w:tcW w:w="10376" w:type="dxa"/>
          </w:tcPr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一、提供</w:t>
            </w:r>
            <w:r>
              <w:rPr>
                <w:rFonts w:hint="eastAsia"/>
              </w:rPr>
              <w:t>文件化信息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《能源管理手册》</w:t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程序文件清单</w:t>
            </w:r>
            <w:r>
              <w:rPr>
                <w:rFonts w:hint="eastAsia"/>
                <w:lang w:eastAsia="zh-CN"/>
              </w:rPr>
              <w:t>》</w:t>
            </w:r>
            <w:r>
              <w:rPr>
                <w:rFonts w:hint="eastAsia"/>
                <w:lang w:val="en-US" w:eastAsia="zh-CN"/>
              </w:rPr>
              <w:t>主要有《En/HB-CX-08能源监视和测量控制程序》《 En/HB-CX-11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不符合、纠正、改进措施程序》《 En/HB-CX-14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监测和计量装置的购买、使用、维护和处置程序》《En/HB-CX-15能源服务、产品、设备和能源采购控制程序》《LH-YG-2-2021 供应商管理制度》《LH-YG-1-2021 供应商绩效考核规范》、采购管理制度、设备采购管理制度、主材采购管理制度、物资采购管理制度、委外加工管理制度、采购作业考评制度、兼职采购管理办法、供应商绩效考核办法、供应商分类管理制度、设备管理制度、投资技改管理制度、备品备件管理制度、设备设施安装、验收、报废、拆除管理制度、库存管</w:t>
            </w:r>
            <w:r>
              <w:rPr>
                <w:rFonts w:hint="eastAsia"/>
                <w:szCs w:val="22"/>
                <w:lang w:val="en-US" w:eastAsia="zh-CN"/>
              </w:rPr>
              <w:t>理制度等，有发布，实施。有编审批。确保了其适宜性和充分性。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还包括采购信息管理平台：是指由集团统一开发和管理的信息系统，包含ERP系统采购模块、TCM平台、SRM平台等。</w:t>
            </w:r>
          </w:p>
          <w:p>
            <w:pPr>
              <w:pStyle w:val="6"/>
              <w:ind w:left="0" w:leftChars="0"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二、在《供应商管理制度》中要求：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1、供应商的选择与评定  2、选择供应商的原则  3、</w:t>
            </w:r>
            <w:r>
              <w:rPr>
                <w:rFonts w:hint="default"/>
                <w:szCs w:val="22"/>
                <w:lang w:val="en-US" w:eastAsia="zh-CN"/>
              </w:rPr>
              <w:t>供应商考察</w:t>
            </w:r>
            <w:r>
              <w:rPr>
                <w:rFonts w:hint="eastAsia"/>
                <w:szCs w:val="22"/>
                <w:lang w:val="en-US" w:eastAsia="zh-CN"/>
              </w:rPr>
              <w:t xml:space="preserve">  4、供应商产品初步评价 5、合格供应商评定  6、合格供应商的评定和选择准则  最后对合格供应商的管理与监控。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运营管理部应根据公司生产经营的需求，开展供应商选择与评定的策划工作。</w:t>
            </w:r>
          </w:p>
          <w:p>
            <w:pPr>
              <w:pStyle w:val="6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公司应禁止采购《淘汰落后生产能力、工艺和产品的目录》、《高耗能落后机电设备（产品）淘汰目录》</w:t>
            </w:r>
          </w:p>
          <w:p>
            <w:pPr>
              <w:pStyle w:val="6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和《产业结构指导目录》规定的淘汰产品和设备，对现有产品、设备进行更换时，应尽量采用高效的节能产品，或者采用国家鼓励的节能产品和设备。</w:t>
            </w:r>
          </w:p>
          <w:p>
            <w:pPr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 xml:space="preserve">   </w:t>
            </w:r>
            <w:r>
              <w:rPr>
                <w:rFonts w:hint="eastAsia"/>
                <w:color w:val="000000" w:themeColor="text1"/>
                <w:lang w:val="en-US" w:eastAsia="zh-CN"/>
              </w:rPr>
              <w:t xml:space="preserve"> 抽查：对供方产品名称“纯钼方坯.低钾钼方坯.高温钼方坯.纯钨方坯.钼丝.钼棒.钼粉及钼合金粉：进行《2020年度供方业绩评价表》编号为：JL-10-02-2020。 </w:t>
            </w:r>
          </w:p>
          <w:tbl>
            <w:tblPr>
              <w:tblStyle w:val="7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63"/>
              <w:gridCol w:w="288"/>
              <w:gridCol w:w="415"/>
              <w:gridCol w:w="1147"/>
              <w:gridCol w:w="1147"/>
              <w:gridCol w:w="565"/>
              <w:gridCol w:w="588"/>
              <w:gridCol w:w="650"/>
              <w:gridCol w:w="622"/>
              <w:gridCol w:w="408"/>
              <w:gridCol w:w="104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2351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供方名称</w:t>
                  </w:r>
                </w:p>
              </w:tc>
              <w:tc>
                <w:tcPr>
                  <w:tcW w:w="3274" w:type="dxa"/>
                  <w:gridSpan w:val="4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成都虹波实业有限公司</w:t>
                  </w:r>
                </w:p>
              </w:tc>
              <w:tc>
                <w:tcPr>
                  <w:tcW w:w="1238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2073" w:type="dxa"/>
                  <w:gridSpan w:val="3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028-88432320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2351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供方联系人</w:t>
                  </w:r>
                </w:p>
              </w:tc>
              <w:tc>
                <w:tcPr>
                  <w:tcW w:w="3274" w:type="dxa"/>
                  <w:gridSpan w:val="4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梁勇</w:t>
                  </w:r>
                </w:p>
              </w:tc>
              <w:tc>
                <w:tcPr>
                  <w:tcW w:w="1238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传真 </w:t>
                  </w:r>
                </w:p>
              </w:tc>
              <w:tc>
                <w:tcPr>
                  <w:tcW w:w="2073" w:type="dxa"/>
                  <w:gridSpan w:val="3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028-88432320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2351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供方产品名称</w:t>
                  </w:r>
                </w:p>
              </w:tc>
              <w:tc>
                <w:tcPr>
                  <w:tcW w:w="3274" w:type="dxa"/>
                  <w:gridSpan w:val="4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纯钼方坯.低钾钼方坯.高温钼方坯.纯钨方坯.钼丝.钼棒.钼粉及钼合金粉</w:t>
                  </w:r>
                </w:p>
              </w:tc>
              <w:tc>
                <w:tcPr>
                  <w:tcW w:w="1238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产品类别(G/Z)</w:t>
                  </w:r>
                </w:p>
              </w:tc>
              <w:tc>
                <w:tcPr>
                  <w:tcW w:w="2073" w:type="dxa"/>
                  <w:gridSpan w:val="3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G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7893" w:type="dxa"/>
                  <w:gridSpan w:val="10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left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进货检验产品质量评分（占40%）（合格批次 / 到货总批次）×30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：                                                                         </w:t>
                  </w:r>
                </w:p>
              </w:tc>
              <w:tc>
                <w:tcPr>
                  <w:tcW w:w="1043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得分：4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7893" w:type="dxa"/>
                  <w:gridSpan w:val="10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生产现场发现批次不合格（占10%）（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sym w:font="Wingdings" w:char="F071"/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无反馈得10分、影响生产一次扣2分、严重影响一次扣4分）：</w:t>
                  </w:r>
                </w:p>
              </w:tc>
              <w:tc>
                <w:tcPr>
                  <w:tcW w:w="1043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得分：1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7893" w:type="dxa"/>
                  <w:gridSpan w:val="10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产品按时交付表现（占20%）（按时到货批次 / 到货总批次）×20：</w:t>
                  </w:r>
                </w:p>
              </w:tc>
              <w:tc>
                <w:tcPr>
                  <w:tcW w:w="1043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得分：1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>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7893" w:type="dxa"/>
                  <w:gridSpan w:val="10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服务质量与信息沟通（占10%）（包括配合度、送样速度、纠正措施等）：</w:t>
                  </w:r>
                </w:p>
              </w:tc>
              <w:tc>
                <w:tcPr>
                  <w:tcW w:w="1043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得分：1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75" w:hRule="atLeast"/>
                <w:jc w:val="center"/>
              </w:trPr>
              <w:tc>
                <w:tcPr>
                  <w:tcW w:w="7893" w:type="dxa"/>
                  <w:gridSpan w:val="10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价格水平</w:t>
                  </w:r>
                  <w:r>
                    <w:rPr>
                      <w:rFonts w:hint="eastAsia"/>
                      <w:sz w:val="18"/>
                      <w:szCs w:val="18"/>
                    </w:rPr>
                    <w:t>（占20%）（较差0-12分、居中12-16分、较好16-20分）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：</w:t>
                  </w:r>
                </w:p>
              </w:tc>
              <w:tc>
                <w:tcPr>
                  <w:tcW w:w="1043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得分：</w:t>
                  </w:r>
                  <w:r>
                    <w:rPr>
                      <w:rFonts w:hint="eastAsia" w:ascii="宋体" w:hAnsi="宋体"/>
                      <w:sz w:val="18"/>
                      <w:szCs w:val="18"/>
                      <w:lang w:val="en-US" w:eastAsia="zh-CN"/>
                    </w:rPr>
                    <w:t>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7893" w:type="dxa"/>
                  <w:gridSpan w:val="10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left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体系认证情况（占10%）（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sym w:font="Wingdings" w:char="F071"/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ISO9001为6分，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sym w:font="Wingdings" w:char="F071"/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ISO14001为4分 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sym w:font="Wingdings" w:char="F071"/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正在申请ISO9001为3分 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left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sym w:font="Wingdings" w:char="F071"/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无证为0分） 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sym w:font="Wingdings" w:char="F071"/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其他，具有相关资质（1分）：(</w:t>
                  </w:r>
                  <w:r>
                    <w:rPr>
                      <w:rFonts w:hint="eastAsia" w:ascii="宋体" w:hAnsi="宋体"/>
                      <w:b/>
                      <w:sz w:val="18"/>
                      <w:szCs w:val="18"/>
                    </w:rPr>
                    <w:t>应关注证书是否在有效期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043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得分：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>10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8936" w:type="dxa"/>
                  <w:gridSpan w:val="11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总评分：9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>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85" w:hRule="exact"/>
                <w:jc w:val="center"/>
              </w:trPr>
              <w:tc>
                <w:tcPr>
                  <w:tcW w:w="8936" w:type="dxa"/>
                  <w:gridSpan w:val="11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结论：根据现有情况看钼粉及钼合金粉，供方生产能力强，产品质量较稳定，交货即时服务质量与信息沟通能力强，同时价格水平偏下。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ascii="宋体" w:hAnsi="宋体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6213" w:type="dxa"/>
                  <w:gridSpan w:val="7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对质量改进意见或建议和下年度采购意见以及评定等级： 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>A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级</w:t>
                  </w:r>
                </w:p>
              </w:tc>
              <w:tc>
                <w:tcPr>
                  <w:tcW w:w="2723" w:type="dxa"/>
                  <w:gridSpan w:val="4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left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评审组长</w:t>
                  </w:r>
                  <w:r>
                    <w:rPr>
                      <w:rFonts w:hint="eastAsia"/>
                      <w:sz w:val="18"/>
                      <w:szCs w:val="18"/>
                    </w:rPr>
                    <w:t>（技术负责人）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2063" w:type="dxa"/>
                  <w:vMerge w:val="restart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会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签</w:t>
                  </w:r>
                </w:p>
              </w:tc>
              <w:tc>
                <w:tcPr>
                  <w:tcW w:w="703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部门</w:t>
                  </w:r>
                </w:p>
              </w:tc>
              <w:tc>
                <w:tcPr>
                  <w:tcW w:w="114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品质保证部</w:t>
                  </w:r>
                </w:p>
              </w:tc>
              <w:tc>
                <w:tcPr>
                  <w:tcW w:w="114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生产部</w:t>
                  </w:r>
                </w:p>
              </w:tc>
              <w:tc>
                <w:tcPr>
                  <w:tcW w:w="1153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生产技术部</w:t>
                  </w:r>
                </w:p>
              </w:tc>
              <w:tc>
                <w:tcPr>
                  <w:tcW w:w="1272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市场部</w:t>
                  </w:r>
                </w:p>
              </w:tc>
              <w:tc>
                <w:tcPr>
                  <w:tcW w:w="1451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财务部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90" w:hRule="atLeast"/>
                <w:jc w:val="center"/>
              </w:trPr>
              <w:tc>
                <w:tcPr>
                  <w:tcW w:w="2063" w:type="dxa"/>
                  <w:vMerge w:val="continue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703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代表人</w:t>
                  </w:r>
                </w:p>
              </w:tc>
              <w:tc>
                <w:tcPr>
                  <w:tcW w:w="114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1147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1272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1451" w:type="dxa"/>
                  <w:gridSpan w:val="2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18" w:hRule="atLeast"/>
                <w:jc w:val="center"/>
              </w:trPr>
              <w:tc>
                <w:tcPr>
                  <w:tcW w:w="206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center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审批意见</w:t>
                  </w:r>
                </w:p>
              </w:tc>
              <w:tc>
                <w:tcPr>
                  <w:tcW w:w="6873" w:type="dxa"/>
                  <w:gridSpan w:val="10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right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0" w:lineRule="atLeast"/>
                    <w:ind w:left="-105" w:leftChars="-50" w:right="-105" w:rightChars="-50" w:firstLine="0" w:firstLineChars="0"/>
                    <w:jc w:val="right"/>
                    <w:textAlignment w:val="auto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  主管领导：        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 xml:space="preserve">       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 年      月      日</w:t>
                  </w:r>
                </w:p>
              </w:tc>
            </w:tr>
          </w:tbl>
          <w:p>
            <w:pPr>
              <w:pStyle w:val="6"/>
              <w:rPr>
                <w:rFonts w:hint="eastAsia"/>
                <w:b/>
                <w:bCs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szCs w:val="22"/>
                <w:lang w:val="en-US" w:eastAsia="zh-CN"/>
              </w:rPr>
              <w:t>查编号为：JL-10-02-2020对供方产品名称“纯钼方坯.低钾钼方坯.高温钼方坯.纯钨方坯.钼丝.钼棒.钼粉</w:t>
            </w:r>
          </w:p>
          <w:p>
            <w:pPr>
              <w:pStyle w:val="6"/>
              <w:ind w:left="0" w:leftChars="0" w:firstLine="0" w:firstLineChars="0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szCs w:val="22"/>
                <w:lang w:val="en-US" w:eastAsia="zh-CN"/>
              </w:rPr>
              <w:t>及钼合金粉”进行《2020年度供方业绩评价表》，其中评审组长（技术负责人），各会签单位，主管领导审批意见均没有相关证据。</w:t>
            </w:r>
            <w:r>
              <w:rPr>
                <w:rFonts w:hint="eastAsia"/>
                <w:b/>
                <w:bCs/>
                <w:color w:val="FF0000"/>
                <w:szCs w:val="22"/>
                <w:lang w:val="en-US" w:eastAsia="zh-CN"/>
              </w:rPr>
              <w:t>问题</w:t>
            </w:r>
          </w:p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/>
                <w:b/>
                <w:bCs/>
                <w:lang w:val="en-US" w:eastAsia="zh-CN"/>
              </w:rPr>
              <w:t>最近二年没有采购主要耗能设备。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三、抽查2021年合格供方名录：（共52家，抽查22家）见下表。</w:t>
            </w:r>
          </w:p>
          <w:p>
            <w:pPr>
              <w:pStyle w:val="6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4152900" cy="3099435"/>
                  <wp:effectExtent l="0" t="0" r="0" b="1905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309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numPr>
                <w:ilvl w:val="0"/>
                <w:numId w:val="0"/>
              </w:numPr>
              <w:ind w:left="420" w:leftChars="0"/>
              <w:rPr>
                <w:rFonts w:hint="default"/>
                <w:lang w:val="en-US" w:eastAsia="zh-CN"/>
              </w:rPr>
            </w:pPr>
          </w:p>
          <w:p>
            <w:pPr>
              <w:pStyle w:val="6"/>
              <w:numPr>
                <w:ilvl w:val="0"/>
                <w:numId w:val="0"/>
              </w:numPr>
              <w:ind w:firstLine="630" w:firstLineChars="3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四、抽查能源采购合同：符合标准要求与生产管理实际。</w:t>
            </w:r>
          </w:p>
          <w:p>
            <w:pPr>
              <w:pStyle w:val="6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</w:t>
            </w:r>
            <w:r>
              <w:drawing>
                <wp:inline distT="0" distB="0" distL="114300" distR="114300">
                  <wp:extent cx="2421255" cy="2426335"/>
                  <wp:effectExtent l="0" t="0" r="1905" b="4445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67585" cy="2315210"/>
                  <wp:effectExtent l="0" t="0" r="3175" b="1270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31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43735" cy="2318385"/>
                  <wp:effectExtent l="0" t="0" r="6985" b="5715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960245" cy="2251710"/>
                  <wp:effectExtent l="0" t="0" r="5715" b="3810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078990" cy="2315210"/>
                  <wp:effectExtent l="0" t="0" r="1270" b="1270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231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2160" w:type="dxa"/>
          </w:tcPr>
          <w:p>
            <w:pP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.不符合与纠正措施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10.1</w:t>
            </w:r>
          </w:p>
        </w:tc>
        <w:tc>
          <w:tcPr>
            <w:tcW w:w="10376" w:type="dxa"/>
          </w:tcPr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《监视、测量与分析控制程序》《不符合、纠正、纠正措施和预防措施控制程序》公司建立、实施并保持《监视、测量与分析控制程序》，以实现对能源管理绩效的监视、测量与评价，本单位负责本部门的相关目标、指标、运行控制等的监控和测量。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监视、测量主要内容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（1）能源绩效参数；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（2）与主要能源使用相关的变量，如温度、压力、流量等；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（3）主要能源使用和能源评审的输出；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（4）能源管理实施方案在实现能源目标、指标方面的有效性；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（5）能源目标、指标的完成情况；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（6）对过程的节能效果进行检验；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（7）实际能源消耗与预期的对比评价。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公司规定了为了及时纠正在能源管理体系运行中发现的不符合，采取有效的纠正措施与预防措施，减少对生产经营活动的影响，避免不符合的再次发生。</w:t>
            </w:r>
          </w:p>
          <w:p>
            <w:pPr>
              <w:pStyle w:val="6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目前运营管理部提供2020年以及2021年1至6月的对能源采购、物资采购的相关记录，没有发生违规现</w:t>
            </w:r>
          </w:p>
          <w:p>
            <w:pPr>
              <w:pStyle w:val="6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象。</w:t>
            </w:r>
          </w:p>
        </w:tc>
        <w:tc>
          <w:tcPr>
            <w:tcW w:w="1213" w:type="dxa"/>
          </w:tcPr>
          <w:p/>
        </w:tc>
      </w:tr>
    </w:tbl>
    <w:p>
      <w:pPr>
        <w:pStyle w:val="4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-36195</wp:posOffset>
          </wp:positionV>
          <wp:extent cx="375285" cy="359410"/>
          <wp:effectExtent l="0" t="0" r="0" b="6350"/>
          <wp:wrapTight wrapText="bothSides">
            <wp:wrapPolygon>
              <wp:start x="5702" y="0"/>
              <wp:lineTo x="0" y="2748"/>
              <wp:lineTo x="0" y="16486"/>
              <wp:lineTo x="6579" y="21066"/>
              <wp:lineTo x="9210" y="21066"/>
              <wp:lineTo x="14473" y="21066"/>
              <wp:lineTo x="14912" y="21066"/>
              <wp:lineTo x="20613" y="14654"/>
              <wp:lineTo x="20613" y="5953"/>
              <wp:lineTo x="17105" y="1374"/>
              <wp:lineTo x="14035" y="0"/>
              <wp:lineTo x="570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5285" cy="359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0288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</w:t>
                </w:r>
                <w:r>
                  <w:rPr>
                    <w:sz w:val="18"/>
                    <w:szCs w:val="18"/>
                  </w:rPr>
                  <w:t>0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管理体系审核记录表(03版)</w:t>
                </w:r>
              </w:p>
            </w:txbxContent>
          </v:textbox>
        </v:shape>
      </w:pict>
    </w:r>
    <w:r>
      <w:rPr>
        <w:rStyle w:val="13"/>
        <w:rFonts w:hint="default"/>
        <w:w w:val="90"/>
      </w:rPr>
      <w:t>Beijing International Standard united Certification Co.,Ltd.</w:t>
    </w:r>
  </w:p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536930"/>
    <w:rsid w:val="00564E53"/>
    <w:rsid w:val="005D5659"/>
    <w:rsid w:val="00600C20"/>
    <w:rsid w:val="00644FE2"/>
    <w:rsid w:val="0067640C"/>
    <w:rsid w:val="006E678B"/>
    <w:rsid w:val="007757F3"/>
    <w:rsid w:val="007C1B48"/>
    <w:rsid w:val="007E6AEB"/>
    <w:rsid w:val="008973EE"/>
    <w:rsid w:val="00971600"/>
    <w:rsid w:val="009973B4"/>
    <w:rsid w:val="009C28C1"/>
    <w:rsid w:val="009F7EED"/>
    <w:rsid w:val="00A80636"/>
    <w:rsid w:val="00AF0AAB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1D01ECA"/>
    <w:rsid w:val="03DC30E0"/>
    <w:rsid w:val="046567E2"/>
    <w:rsid w:val="05DF3DCC"/>
    <w:rsid w:val="09AA2A96"/>
    <w:rsid w:val="108219C2"/>
    <w:rsid w:val="12EC4A9A"/>
    <w:rsid w:val="139C646D"/>
    <w:rsid w:val="13D47B48"/>
    <w:rsid w:val="16B93B5D"/>
    <w:rsid w:val="183D7BA6"/>
    <w:rsid w:val="1A290FBD"/>
    <w:rsid w:val="1B007415"/>
    <w:rsid w:val="23BB39C7"/>
    <w:rsid w:val="27CE53B5"/>
    <w:rsid w:val="2B283970"/>
    <w:rsid w:val="31296046"/>
    <w:rsid w:val="355A4358"/>
    <w:rsid w:val="38052C74"/>
    <w:rsid w:val="39E7305B"/>
    <w:rsid w:val="3B373EE7"/>
    <w:rsid w:val="3D245307"/>
    <w:rsid w:val="3D6D656F"/>
    <w:rsid w:val="4C1C3C8C"/>
    <w:rsid w:val="4DB6221E"/>
    <w:rsid w:val="50B26E3A"/>
    <w:rsid w:val="571421BF"/>
    <w:rsid w:val="59A63954"/>
    <w:rsid w:val="5AD0717F"/>
    <w:rsid w:val="5B553FC5"/>
    <w:rsid w:val="5BFD0207"/>
    <w:rsid w:val="5D147476"/>
    <w:rsid w:val="5EA12B9A"/>
    <w:rsid w:val="5F0D1C5A"/>
    <w:rsid w:val="5FB42C47"/>
    <w:rsid w:val="60216FEC"/>
    <w:rsid w:val="61BA3825"/>
    <w:rsid w:val="621F7D19"/>
    <w:rsid w:val="66856E51"/>
    <w:rsid w:val="6A8123EB"/>
    <w:rsid w:val="6EFA7888"/>
    <w:rsid w:val="715616AC"/>
    <w:rsid w:val="73B542BD"/>
    <w:rsid w:val="765038CB"/>
    <w:rsid w:val="7B371D97"/>
    <w:rsid w:val="7D5E684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spacing w:before="92"/>
      <w:ind w:left="980" w:firstLine="480"/>
      <w:jc w:val="left"/>
    </w:pPr>
    <w:rPr>
      <w:rFonts w:ascii="宋体" w:hAnsi="宋体" w:cs="宋体"/>
      <w:kern w:val="0"/>
      <w:sz w:val="24"/>
      <w:szCs w:val="24"/>
      <w:lang w:val="zh-CN" w:bidi="zh-CN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able of figures"/>
    <w:basedOn w:val="1"/>
    <w:next w:val="1"/>
    <w:qFormat/>
    <w:uiPriority w:val="0"/>
    <w:pPr>
      <w:ind w:left="200" w:leftChars="200" w:hanging="200" w:hangingChars="200"/>
    </w:p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9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font0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styleId="15">
    <w:name w:val="List Paragraph"/>
    <w:basedOn w:val="1"/>
    <w:qFormat/>
    <w:uiPriority w:val="1"/>
    <w:pPr>
      <w:autoSpaceDE w:val="0"/>
      <w:autoSpaceDN w:val="0"/>
      <w:spacing w:before="92"/>
      <w:ind w:left="980" w:hanging="601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customStyle="1" w:styleId="16">
    <w:name w:val="表头"/>
    <w:basedOn w:val="1"/>
    <w:next w:val="1"/>
    <w:qFormat/>
    <w:uiPriority w:val="0"/>
    <w:pPr>
      <w:spacing w:beforeLines="50" w:afterLines="20"/>
      <w:jc w:val="center"/>
      <w:textAlignment w:val="center"/>
    </w:pPr>
    <w:rPr>
      <w:rFonts w:ascii="宋体" w:hAnsi="宋体" w:cs="宋体"/>
      <w:sz w:val="24"/>
      <w:szCs w:val="24"/>
    </w:rPr>
  </w:style>
  <w:style w:type="character" w:customStyle="1" w:styleId="17">
    <w:name w:val="normaltextru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0</TotalTime>
  <ScaleCrop>false</ScaleCrop>
  <LinksUpToDate>false</LinksUpToDate>
  <CharactersWithSpaces>147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Lenovo</cp:lastModifiedBy>
  <dcterms:modified xsi:type="dcterms:W3CDTF">2021-09-08T12:40:44Z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5A2D6CB1175D47D297491868A4273956</vt:lpwstr>
  </property>
</Properties>
</file>