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8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376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firstLine="0" w:firstLineChars="0"/>
              <w:jc w:val="center"/>
              <w:textAlignment w:val="auto"/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过程与活动、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firstLine="0" w:firstLineChars="0"/>
              <w:jc w:val="center"/>
              <w:textAlignment w:val="auto"/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firstLine="0" w:firstLineChars="0"/>
              <w:jc w:val="center"/>
              <w:textAlignment w:val="auto"/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涉及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firstLine="0" w:firstLineChars="0"/>
              <w:jc w:val="center"/>
              <w:textAlignment w:val="auto"/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条款</w:t>
            </w:r>
          </w:p>
        </w:tc>
        <w:tc>
          <w:tcPr>
            <w:tcW w:w="103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firstLine="0" w:firstLineChars="0"/>
              <w:jc w:val="left"/>
              <w:textAlignment w:val="auto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受审核部门：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财务部</w:t>
            </w:r>
            <w:r>
              <w:rPr>
                <w:rFonts w:hint="eastAsia" w:ascii="宋体" w:hAnsi="宋体" w:eastAsia="宋体" w:cs="Times New Roman"/>
                <w:sz w:val="21"/>
                <w:szCs w:val="21"/>
              </w:rPr>
              <w:t xml:space="preserve">    主管领导：</w:t>
            </w:r>
            <w:r>
              <w:rPr>
                <w:rFonts w:hint="eastAsia" w:ascii="宋体" w:hAnsi="宋体" w:cs="Times New Roman"/>
                <w:sz w:val="21"/>
                <w:szCs w:val="21"/>
                <w:lang w:val="en-US" w:eastAsia="zh-CN"/>
              </w:rPr>
              <w:t>王  红</w:t>
            </w:r>
            <w:r>
              <w:rPr>
                <w:rFonts w:hint="eastAsia" w:ascii="宋体" w:hAnsi="宋体" w:eastAsia="宋体" w:cs="Times New Roman"/>
                <w:sz w:val="21"/>
                <w:szCs w:val="21"/>
              </w:rPr>
              <w:t xml:space="preserve">     陪同人员：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黄超</w:t>
            </w:r>
          </w:p>
        </w:tc>
        <w:tc>
          <w:tcPr>
            <w:tcW w:w="1213" w:type="dxa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firstLine="0" w:firstLineChars="0"/>
              <w:jc w:val="left"/>
              <w:textAlignment w:val="auto"/>
              <w:rPr>
                <w:rFonts w:hint="eastAsia" w:ascii="宋体" w:hAnsi="宋体" w:eastAsia="宋体" w:cs="Times New Roman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firstLine="0" w:firstLineChars="0"/>
              <w:jc w:val="left"/>
              <w:textAlignment w:val="auto"/>
              <w:rPr>
                <w:rFonts w:hint="eastAsia" w:ascii="宋体" w:hAnsi="宋体" w:eastAsia="宋体" w:cs="Times New Roman"/>
                <w:sz w:val="21"/>
                <w:szCs w:val="21"/>
              </w:rPr>
            </w:pPr>
          </w:p>
        </w:tc>
        <w:tc>
          <w:tcPr>
            <w:tcW w:w="103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firstLine="0" w:firstLineChars="0"/>
              <w:jc w:val="left"/>
              <w:textAlignment w:val="auto"/>
              <w:rPr>
                <w:rFonts w:hint="default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审核员：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王宁敏</w:t>
            </w:r>
            <w:r>
              <w:rPr>
                <w:rFonts w:hint="eastAsia" w:ascii="宋体" w:hAnsi="宋体" w:eastAsia="宋体" w:cs="Times New Roman"/>
                <w:sz w:val="21"/>
                <w:szCs w:val="21"/>
              </w:rPr>
              <w:t xml:space="preserve">       审核时间：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2021-</w:t>
            </w:r>
            <w:r>
              <w:rPr>
                <w:rFonts w:hint="eastAsia" w:ascii="宋体" w:hAnsi="宋体" w:cs="Times New Roman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Times New Roman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cs="Times New Roman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:00-</w:t>
            </w:r>
            <w:r>
              <w:rPr>
                <w:rFonts w:hint="eastAsia" w:ascii="宋体" w:hAnsi="宋体" w:cs="Times New Roman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:00</w:t>
            </w:r>
          </w:p>
        </w:tc>
        <w:tc>
          <w:tcPr>
            <w:tcW w:w="1213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firstLine="0" w:firstLineChars="0"/>
              <w:jc w:val="left"/>
              <w:textAlignment w:val="auto"/>
              <w:rPr>
                <w:rFonts w:hint="eastAsia" w:ascii="宋体" w:hAnsi="宋体" w:eastAsia="宋体" w:cs="Times New Roman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firstLine="0" w:firstLineChars="0"/>
              <w:jc w:val="left"/>
              <w:textAlignment w:val="auto"/>
              <w:rPr>
                <w:rFonts w:hint="eastAsia" w:ascii="宋体" w:hAnsi="宋体" w:eastAsia="宋体" w:cs="Times New Roman"/>
                <w:sz w:val="21"/>
                <w:szCs w:val="21"/>
              </w:rPr>
            </w:pPr>
          </w:p>
        </w:tc>
        <w:tc>
          <w:tcPr>
            <w:tcW w:w="103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left="0" w:firstLine="0" w:firstLineChars="0"/>
              <w:jc w:val="left"/>
              <w:textAlignment w:val="auto"/>
              <w:rPr>
                <w:rFonts w:hint="eastAsia" w:ascii="宋体" w:hAnsi="宋体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审核条款：5.3 组织的岗位、职责和权限、6.2 目标、能源指及其实现的策划、8.1 运行的策划和控制、10.1不符合与纠正措施</w:t>
            </w:r>
            <w:r>
              <w:rPr>
                <w:rFonts w:hint="eastAsia" w:ascii="宋体" w:hAnsi="宋体" w:cs="Times New Roman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1213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1" w:hRule="atLeast"/>
        </w:trPr>
        <w:tc>
          <w:tcPr>
            <w:tcW w:w="2160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cs="Times New Roman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组织的岗位、职责和权限</w:t>
            </w:r>
          </w:p>
          <w:p>
            <w:pPr>
              <w:numPr>
                <w:ilvl w:val="0"/>
                <w:numId w:val="0"/>
              </w:num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2.能源管理目标、指标及实现措施策划适宜性；、能源职责；</w:t>
            </w:r>
          </w:p>
        </w:tc>
        <w:tc>
          <w:tcPr>
            <w:tcW w:w="960" w:type="dxa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5.3</w:t>
            </w:r>
            <w:r>
              <w:rPr>
                <w:rFonts w:hint="eastAsia" w:ascii="宋体" w:hAnsi="宋体" w:cs="Times New Roman"/>
                <w:sz w:val="21"/>
                <w:szCs w:val="21"/>
                <w:lang w:val="en-US" w:eastAsia="zh-CN"/>
              </w:rPr>
              <w:t>/6.2</w:t>
            </w:r>
          </w:p>
        </w:tc>
        <w:tc>
          <w:tcPr>
            <w:tcW w:w="10376" w:type="dxa"/>
          </w:tcPr>
          <w:p>
            <w:pPr>
              <w:numPr>
                <w:ilvl w:val="0"/>
                <w:numId w:val="0"/>
              </w:numPr>
              <w:ind w:firstLine="420" w:firstLineChars="200"/>
              <w:rPr>
                <w:rFonts w:hint="default"/>
                <w:szCs w:val="22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财务部</w:t>
            </w:r>
            <w:r>
              <w:rPr>
                <w:rFonts w:hint="eastAsia"/>
                <w:lang w:val="en-US" w:eastAsia="zh-CN"/>
              </w:rPr>
              <w:t>：领导 王红，共3人，提供部门及岗位职责：财务部经理、会计、出纳；含财务管理、会计核算、预算管理、财务分析、财务审核、成本管理、财务监督、资金运作、完成上级领导交办的其他任务</w:t>
            </w:r>
            <w:r>
              <w:rPr>
                <w:rFonts w:hint="eastAsia"/>
                <w:szCs w:val="22"/>
                <w:lang w:val="en-US" w:eastAsia="zh-CN"/>
              </w:rPr>
              <w:t>。提供财务部《工作责任制度》，含：财务部门负责人、出纳作业处理准则、会计核算基础工作规定、借款和各项费用开支标准及审批程序。</w:t>
            </w:r>
          </w:p>
          <w:p>
            <w:pPr>
              <w:ind w:firstLine="420"/>
              <w:rPr>
                <w:rFonts w:hint="eastAsia"/>
                <w:szCs w:val="22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2.提供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财务部</w:t>
            </w:r>
            <w:r>
              <w:rPr>
                <w:rFonts w:hint="eastAsia"/>
                <w:szCs w:val="22"/>
                <w:lang w:val="en-US" w:eastAsia="zh-CN"/>
              </w:rPr>
              <w:t>能源管理目标</w:t>
            </w:r>
          </w:p>
          <w:p>
            <w:pPr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保证公司二个目标指标的完成，</w:t>
            </w:r>
          </w:p>
          <w:p>
            <w:pPr>
              <w:pStyle w:val="7"/>
              <w:ind w:left="840" w:leftChars="40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</w:t>
            </w:r>
            <w:r>
              <w:rPr>
                <w:rFonts w:hint="eastAsia"/>
                <w:szCs w:val="22"/>
                <w:lang w:val="en-US" w:eastAsia="zh-CN"/>
              </w:rPr>
              <w:t>2021年能源管理体系目标指标为：公司级：单位产品能耗</w:t>
            </w:r>
            <w:r>
              <w:rPr>
                <w:rFonts w:hint="eastAsia" w:ascii="宋体" w:hAnsi="宋体" w:eastAsia="宋体" w:cs="宋体"/>
                <w:szCs w:val="22"/>
                <w:lang w:val="en-US" w:eastAsia="zh-CN"/>
              </w:rPr>
              <w:t>≦</w:t>
            </w:r>
            <w:r>
              <w:rPr>
                <w:rFonts w:hint="eastAsia"/>
                <w:szCs w:val="22"/>
                <w:lang w:val="en-US" w:eastAsia="zh-CN"/>
              </w:rPr>
              <w:t>1.</w:t>
            </w:r>
            <w:bookmarkStart w:id="0" w:name="_GoBack"/>
            <w:bookmarkEnd w:id="0"/>
            <w:r>
              <w:rPr>
                <w:rFonts w:hint="eastAsia"/>
                <w:szCs w:val="22"/>
                <w:lang w:val="en-US" w:eastAsia="zh-CN"/>
              </w:rPr>
              <w:t>48kgce/kg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查阅相关记录，财务管理全部完成。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财务部</w:t>
            </w:r>
            <w:r>
              <w:rPr>
                <w:rFonts w:hint="eastAsia"/>
                <w:lang w:val="en-US" w:eastAsia="zh-CN"/>
              </w:rPr>
              <w:t>基本完成目标指标，保证了能源项目的资金。</w:t>
            </w:r>
          </w:p>
        </w:tc>
        <w:tc>
          <w:tcPr>
            <w:tcW w:w="1213" w:type="dxa"/>
          </w:tcPr>
          <w:p/>
          <w:p>
            <w:pPr>
              <w:pStyle w:val="7"/>
            </w:pPr>
          </w:p>
          <w:p/>
          <w:p>
            <w:pPr>
              <w:pStyle w:val="7"/>
            </w:pPr>
          </w:p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  <w:p/>
          <w:p>
            <w:pPr>
              <w:pStyle w:val="7"/>
            </w:pPr>
          </w:p>
          <w:p/>
          <w:p>
            <w:pPr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2160" w:type="dxa"/>
          </w:tcPr>
          <w:p>
            <w:pPr>
              <w:numPr>
                <w:ilvl w:val="0"/>
                <w:numId w:val="1"/>
              </w:numP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运行的策划和控制、能源资金的策划与控制 ；</w:t>
            </w:r>
          </w:p>
          <w:p>
            <w:pPr>
              <w:numPr>
                <w:ilvl w:val="0"/>
                <w:numId w:val="0"/>
              </w:num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4.不符合与纠正措施。</w:t>
            </w:r>
          </w:p>
        </w:tc>
        <w:tc>
          <w:tcPr>
            <w:tcW w:w="960" w:type="dxa"/>
          </w:tcPr>
          <w:p>
            <w:pP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8.1/</w:t>
            </w:r>
          </w:p>
          <w:p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10.1</w:t>
            </w:r>
          </w:p>
        </w:tc>
        <w:tc>
          <w:tcPr>
            <w:tcW w:w="10376" w:type="dxa"/>
          </w:tcPr>
          <w:p>
            <w:pPr>
              <w:pStyle w:val="7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提供</w:t>
            </w:r>
            <w:r>
              <w:rPr>
                <w:rFonts w:hint="default"/>
                <w:lang w:val="en-US" w:eastAsia="zh-CN"/>
              </w:rPr>
              <w:t>制度清单：全面预算管理制度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default"/>
                <w:lang w:val="en-US" w:eastAsia="zh-CN"/>
              </w:rPr>
              <w:t>差旅费管理办法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default"/>
                <w:lang w:val="en-US" w:eastAsia="zh-CN"/>
              </w:rPr>
              <w:t>资金管理规定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default"/>
                <w:lang w:val="en-US" w:eastAsia="zh-CN"/>
              </w:rPr>
              <w:t>财务收支签字审批程序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default"/>
                <w:lang w:val="en-US" w:eastAsia="zh-CN"/>
              </w:rPr>
              <w:t>固定资产</w:t>
            </w:r>
          </w:p>
          <w:p>
            <w:pPr>
              <w:pStyle w:val="7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管理办法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default"/>
                <w:lang w:val="en-US" w:eastAsia="zh-CN"/>
              </w:rPr>
              <w:t>报销票据规范管理规定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default"/>
                <w:lang w:val="en-US" w:eastAsia="zh-CN"/>
              </w:rPr>
              <w:t>费用报销管理规定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default"/>
                <w:lang w:val="en-US" w:eastAsia="zh-CN"/>
              </w:rPr>
              <w:t>销售与收款内控管理制度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default"/>
                <w:lang w:val="en-US" w:eastAsia="zh-CN"/>
              </w:rPr>
              <w:t>差旅费管理办法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default"/>
                <w:lang w:val="en-US" w:eastAsia="zh-CN"/>
              </w:rPr>
              <w:t>客户信用等级与信用额度管理办法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default"/>
                <w:lang w:val="en-US" w:eastAsia="zh-CN"/>
              </w:rPr>
              <w:t>应收账款管理制度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default"/>
                <w:lang w:val="en-US" w:eastAsia="zh-CN"/>
              </w:rPr>
              <w:t>资产减值准备的计提、转回管理制度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default"/>
                <w:lang w:val="en-US" w:eastAsia="zh-CN"/>
              </w:rPr>
              <w:t>资产核销管理制度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default"/>
                <w:lang w:val="en-US" w:eastAsia="zh-CN"/>
              </w:rPr>
              <w:t>会计电算化管理制度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default"/>
                <w:lang w:val="en-US" w:eastAsia="zh-CN"/>
              </w:rPr>
              <w:t>成本管理制度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default"/>
                <w:lang w:val="en-US" w:eastAsia="zh-CN"/>
              </w:rPr>
              <w:t>会计档案管理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default"/>
                <w:lang w:val="en-US" w:eastAsia="zh-CN"/>
              </w:rPr>
              <w:t>分产品核算管理办法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default"/>
                <w:lang w:val="en-US" w:eastAsia="zh-CN"/>
              </w:rPr>
              <w:t>财务管理制度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default"/>
                <w:lang w:val="en-US" w:eastAsia="zh-CN"/>
              </w:rPr>
              <w:t>主要会计政策制度</w:t>
            </w:r>
            <w:r>
              <w:rPr>
                <w:rFonts w:hint="eastAsia"/>
                <w:lang w:val="en-US" w:eastAsia="zh-CN"/>
              </w:rPr>
              <w:t>。</w:t>
            </w:r>
          </w:p>
          <w:p>
            <w:pPr>
              <w:pStyle w:val="7"/>
              <w:rPr>
                <w:rFonts w:hint="default"/>
                <w:color w:val="000000" w:themeColor="text1"/>
                <w:lang w:val="en-US" w:eastAsia="zh-CN"/>
              </w:rPr>
            </w:pPr>
            <w:r>
              <w:rPr>
                <w:rFonts w:hint="default"/>
                <w:color w:val="000000" w:themeColor="text1"/>
                <w:lang w:val="en-US" w:eastAsia="zh-CN"/>
              </w:rPr>
              <w:t>提供《设备开发项目立项申请书》，项目编号：2021LHPD001-11，项目类别：B类改进型，项目名称：方形</w:t>
            </w:r>
          </w:p>
          <w:p>
            <w:pPr>
              <w:pStyle w:val="7"/>
              <w:ind w:left="0" w:leftChars="0" w:firstLine="0" w:firstLineChars="0"/>
              <w:rPr>
                <w:rFonts w:hint="default"/>
                <w:color w:val="000000" w:themeColor="text1"/>
                <w:lang w:val="en-US" w:eastAsia="zh-CN"/>
              </w:rPr>
            </w:pPr>
            <w:r>
              <w:rPr>
                <w:rFonts w:hint="default"/>
                <w:color w:val="000000" w:themeColor="text1"/>
                <w:lang w:val="en-US" w:eastAsia="zh-CN"/>
              </w:rPr>
              <w:t>中频炉开发项目立项申请，项目负责人：叶国良。项目起止时间：2020年1月至2021年8月。</w:t>
            </w:r>
          </w:p>
          <w:p>
            <w:pPr>
              <w:pStyle w:val="7"/>
              <w:rPr>
                <w:rFonts w:hint="default"/>
                <w:color w:val="000000" w:themeColor="text1"/>
                <w:lang w:val="en-US" w:eastAsia="zh-CN"/>
              </w:rPr>
            </w:pPr>
            <w:r>
              <w:rPr>
                <w:rFonts w:hint="default"/>
                <w:color w:val="000000" w:themeColor="text1"/>
                <w:lang w:val="en-US" w:eastAsia="zh-CN"/>
              </w:rPr>
              <w:t>有：一、项目背景，二、项目输入资料与评估，三、项目主要内容、方案及可行性分析，四、项目预期目</w:t>
            </w:r>
          </w:p>
          <w:p>
            <w:pPr>
              <w:pStyle w:val="7"/>
              <w:ind w:left="0" w:leftChars="0" w:firstLine="0" w:firstLineChars="0"/>
              <w:rPr>
                <w:rFonts w:hint="default"/>
                <w:color w:val="000000" w:themeColor="text1"/>
                <w:lang w:val="en-US" w:eastAsia="zh-CN"/>
              </w:rPr>
            </w:pPr>
            <w:r>
              <w:rPr>
                <w:rFonts w:hint="default"/>
                <w:color w:val="000000" w:themeColor="text1"/>
                <w:lang w:val="en-US" w:eastAsia="zh-CN"/>
              </w:rPr>
              <w:t>标，五、项目进度计划安排，六、项目风险与管控措施，七、项目环境因素评价与安全性评估，八、项目实施所需条件，九、项目经费预算及来源，项目总成本：34.8万元，其中人工成本：1.8万元，项目研究成本合计：33万元，十、项目团队成员及分工，十一、主管部门意见，十二、评审委员会意见。使得方形中频炉的水耗、电耗、氢气单耗、氮气单耗、单位能耗、年产量以及折合经济效益均有所提升。</w:t>
            </w:r>
          </w:p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4739005" cy="3688080"/>
                  <wp:effectExtent l="0" t="0" r="635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005" cy="368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 xml:space="preserve">    目前费用全部发生。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目前在能源方面的财务管理没有发生不符合。资金基本到位。</w:t>
            </w:r>
          </w:p>
          <w:p>
            <w:pPr>
              <w:pStyle w:val="7"/>
              <w:rPr>
                <w:rFonts w:hint="default"/>
                <w:lang w:val="en-US" w:eastAsia="zh-CN"/>
              </w:rPr>
            </w:pPr>
          </w:p>
        </w:tc>
        <w:tc>
          <w:tcPr>
            <w:tcW w:w="1213" w:type="dxa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  <w:p/>
        </w:tc>
      </w:tr>
    </w:tbl>
    <w:p/>
    <w:p>
      <w:pPr>
        <w:pStyle w:val="5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5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4"/>
        <w:rFonts w:hint="default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-36195</wp:posOffset>
          </wp:positionV>
          <wp:extent cx="365760" cy="363220"/>
          <wp:effectExtent l="0" t="0" r="0" b="2540"/>
          <wp:wrapTight wrapText="bothSides">
            <wp:wrapPolygon>
              <wp:start x="5850" y="0"/>
              <wp:lineTo x="0" y="2719"/>
              <wp:lineTo x="0" y="16766"/>
              <wp:lineTo x="6300" y="21298"/>
              <wp:lineTo x="9450" y="21298"/>
              <wp:lineTo x="14400" y="21298"/>
              <wp:lineTo x="14850" y="21298"/>
              <wp:lineTo x="20700" y="14501"/>
              <wp:lineTo x="20700" y="5891"/>
              <wp:lineTo x="17550" y="2266"/>
              <wp:lineTo x="14400" y="0"/>
              <wp:lineTo x="5850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5760" cy="363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4"/>
        <w:rFonts w:hint="default"/>
      </w:rPr>
      <w:t>北京国标联合认证有限公司</w:t>
    </w:r>
    <w:r>
      <w:rPr>
        <w:rStyle w:val="14"/>
        <w:rFonts w:hint="default"/>
      </w:rPr>
      <w:tab/>
    </w:r>
    <w:r>
      <w:rPr>
        <w:rStyle w:val="14"/>
        <w:rFonts w:hint="default"/>
      </w:rPr>
      <w:tab/>
    </w:r>
    <w:r>
      <w:rPr>
        <w:rStyle w:val="14"/>
        <w:rFonts w:hint="default"/>
      </w:rPr>
      <w:tab/>
    </w:r>
  </w:p>
  <w:p>
    <w:pPr>
      <w:pStyle w:val="6"/>
      <w:pBdr>
        <w:bottom w:val="none" w:color="auto" w:sz="0" w:space="1"/>
      </w:pBdr>
      <w:spacing w:line="320" w:lineRule="exact"/>
      <w:jc w:val="left"/>
    </w:pPr>
    <w:r>
      <w:pict>
        <v:shape id="文本框 1" o:spid="_x0000_s4097" o:spt="202" type="#_x0000_t202" style="position:absolute;left:0pt;margin-left:554.75pt;margin-top:2.2pt;height:20.2pt;width:172pt;z-index:251660288;mso-width-relative:page;mso-height-relative:page;" stroked="f" coordsize="21600,21600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</w:t>
                </w:r>
                <w:r>
                  <w:rPr>
                    <w:sz w:val="18"/>
                    <w:szCs w:val="18"/>
                  </w:rPr>
                  <w:t>0</w:t>
                </w:r>
                <w:r>
                  <w:rPr>
                    <w:rFonts w:hint="eastAsia"/>
                    <w:sz w:val="18"/>
                    <w:szCs w:val="18"/>
                  </w:rPr>
                  <w:t>管理体系审核记录表(03版)</w:t>
                </w:r>
              </w:p>
            </w:txbxContent>
          </v:textbox>
        </v:shape>
      </w:pict>
    </w:r>
    <w:r>
      <w:rPr>
        <w:rStyle w:val="14"/>
        <w:rFonts w:hint="default"/>
        <w:w w:val="90"/>
      </w:rPr>
      <w:t>Beijing International Standard united Certification Co.,Ltd.</w:t>
    </w:r>
  </w:p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FEDD19"/>
    <w:multiLevelType w:val="singleLevel"/>
    <w:tmpl w:val="87FEDD19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237F6"/>
    <w:rsid w:val="0003373A"/>
    <w:rsid w:val="000400E2"/>
    <w:rsid w:val="00062E46"/>
    <w:rsid w:val="000E6B21"/>
    <w:rsid w:val="001A2D7F"/>
    <w:rsid w:val="002939AD"/>
    <w:rsid w:val="00314AF6"/>
    <w:rsid w:val="00337922"/>
    <w:rsid w:val="00340867"/>
    <w:rsid w:val="00380837"/>
    <w:rsid w:val="003A198A"/>
    <w:rsid w:val="00410914"/>
    <w:rsid w:val="00536930"/>
    <w:rsid w:val="00564E53"/>
    <w:rsid w:val="005D5659"/>
    <w:rsid w:val="00600C20"/>
    <w:rsid w:val="00644FE2"/>
    <w:rsid w:val="0067640C"/>
    <w:rsid w:val="006E678B"/>
    <w:rsid w:val="007757F3"/>
    <w:rsid w:val="007C1B48"/>
    <w:rsid w:val="007E6AEB"/>
    <w:rsid w:val="008973EE"/>
    <w:rsid w:val="00971600"/>
    <w:rsid w:val="009973B4"/>
    <w:rsid w:val="009C28C1"/>
    <w:rsid w:val="009F7EED"/>
    <w:rsid w:val="00A80636"/>
    <w:rsid w:val="00AF0AAB"/>
    <w:rsid w:val="00BA6A04"/>
    <w:rsid w:val="00BF597E"/>
    <w:rsid w:val="00C51A36"/>
    <w:rsid w:val="00C55228"/>
    <w:rsid w:val="00C63768"/>
    <w:rsid w:val="00CE315A"/>
    <w:rsid w:val="00D06F59"/>
    <w:rsid w:val="00D8388C"/>
    <w:rsid w:val="00E6224C"/>
    <w:rsid w:val="00EB0164"/>
    <w:rsid w:val="00ED0F62"/>
    <w:rsid w:val="0B861E46"/>
    <w:rsid w:val="0D4B7644"/>
    <w:rsid w:val="108219C2"/>
    <w:rsid w:val="10D13291"/>
    <w:rsid w:val="129F789F"/>
    <w:rsid w:val="164B2EDE"/>
    <w:rsid w:val="19710579"/>
    <w:rsid w:val="218612DB"/>
    <w:rsid w:val="25892989"/>
    <w:rsid w:val="2CA144B6"/>
    <w:rsid w:val="2ED812C3"/>
    <w:rsid w:val="3254729C"/>
    <w:rsid w:val="3CDE7DCE"/>
    <w:rsid w:val="3F99076C"/>
    <w:rsid w:val="44926E98"/>
    <w:rsid w:val="462B76C6"/>
    <w:rsid w:val="475549FC"/>
    <w:rsid w:val="50A72012"/>
    <w:rsid w:val="51BE0628"/>
    <w:rsid w:val="53DB69BC"/>
    <w:rsid w:val="540205D7"/>
    <w:rsid w:val="541715FC"/>
    <w:rsid w:val="55AB74E0"/>
    <w:rsid w:val="5686715D"/>
    <w:rsid w:val="5BFD0207"/>
    <w:rsid w:val="5D0B363A"/>
    <w:rsid w:val="5E781451"/>
    <w:rsid w:val="5EA12B9A"/>
    <w:rsid w:val="679F2C77"/>
    <w:rsid w:val="67AD2416"/>
    <w:rsid w:val="67C40114"/>
    <w:rsid w:val="693A54C3"/>
    <w:rsid w:val="6BDC3E6A"/>
    <w:rsid w:val="6DE4169C"/>
    <w:rsid w:val="6EFB611E"/>
    <w:rsid w:val="71125DDE"/>
    <w:rsid w:val="72AD40DE"/>
    <w:rsid w:val="75D471C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 w:cs="Times New Roman"/>
      <w:b/>
      <w:bCs/>
      <w:kern w:val="0"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autoSpaceDE w:val="0"/>
      <w:autoSpaceDN w:val="0"/>
      <w:spacing w:before="92"/>
      <w:ind w:left="980" w:firstLine="480"/>
      <w:jc w:val="left"/>
    </w:pPr>
    <w:rPr>
      <w:rFonts w:ascii="宋体" w:hAnsi="宋体" w:cs="宋体"/>
      <w:kern w:val="0"/>
      <w:sz w:val="24"/>
      <w:szCs w:val="24"/>
      <w:lang w:val="zh-CN" w:bidi="zh-CN"/>
    </w:r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able of figures"/>
    <w:basedOn w:val="1"/>
    <w:next w:val="1"/>
    <w:qFormat/>
    <w:uiPriority w:val="0"/>
    <w:pPr>
      <w:ind w:left="200" w:leftChars="200" w:hanging="200" w:hangingChars="200"/>
    </w:p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页眉 字符"/>
    <w:basedOn w:val="10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页脚 字符"/>
    <w:basedOn w:val="10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批注框文本 字符"/>
    <w:basedOn w:val="10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5">
    <w:name w:val="font01"/>
    <w:basedOn w:val="10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customStyle="1" w:styleId="16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</Words>
  <Characters>126</Characters>
  <Lines>1</Lines>
  <Paragraphs>1</Paragraphs>
  <TotalTime>1</TotalTime>
  <ScaleCrop>false</ScaleCrop>
  <LinksUpToDate>false</LinksUpToDate>
  <CharactersWithSpaces>147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Lenovo</cp:lastModifiedBy>
  <dcterms:modified xsi:type="dcterms:W3CDTF">2021-09-08T12:42:14Z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F9F3616CE79D414AAFADEDBFC7044390</vt:lpwstr>
  </property>
</Properties>
</file>