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jc w:val="center"/>
              <w:rPr>
                <w:sz w:val="24"/>
                <w:szCs w:val="24"/>
              </w:rPr>
            </w:pPr>
            <w:r>
              <w:rPr>
                <w:rFonts w:hint="eastAsia"/>
                <w:sz w:val="24"/>
                <w:szCs w:val="24"/>
              </w:rPr>
              <w:t>涉及</w:t>
            </w:r>
          </w:p>
          <w:p>
            <w:pPr>
              <w:jc w:val="center"/>
            </w:pPr>
            <w:r>
              <w:rPr>
                <w:rFonts w:hint="eastAsia"/>
                <w:sz w:val="24"/>
                <w:szCs w:val="24"/>
              </w:rPr>
              <w:t>条款</w:t>
            </w:r>
          </w:p>
        </w:tc>
        <w:tc>
          <w:tcPr>
            <w:tcW w:w="10376"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综合部</w:t>
            </w:r>
            <w:r>
              <w:rPr>
                <w:sz w:val="24"/>
                <w:szCs w:val="24"/>
              </w:rPr>
              <w:t xml:space="preserve">    </w:t>
            </w:r>
            <w:r>
              <w:rPr>
                <w:rFonts w:hint="eastAsia"/>
                <w:sz w:val="24"/>
                <w:szCs w:val="24"/>
              </w:rPr>
              <w:t>主管领导：</w:t>
            </w:r>
            <w:r>
              <w:rPr>
                <w:rFonts w:hint="eastAsia"/>
                <w:sz w:val="24"/>
                <w:szCs w:val="24"/>
                <w:lang w:val="en-US" w:eastAsia="zh-CN"/>
              </w:rPr>
              <w:t>张逸</w:t>
            </w:r>
            <w:r>
              <w:rPr>
                <w:sz w:val="24"/>
                <w:szCs w:val="24"/>
              </w:rPr>
              <w:t xml:space="preserve">     </w:t>
            </w:r>
            <w:r>
              <w:rPr>
                <w:rFonts w:hint="eastAsia"/>
                <w:sz w:val="24"/>
                <w:szCs w:val="24"/>
              </w:rPr>
              <w:t>陪同人员：</w:t>
            </w:r>
            <w:r>
              <w:rPr>
                <w:rFonts w:hint="eastAsia"/>
                <w:sz w:val="24"/>
                <w:szCs w:val="24"/>
                <w:lang w:val="en-US" w:eastAsia="zh-CN"/>
              </w:rPr>
              <w:t>黄超</w:t>
            </w:r>
          </w:p>
        </w:tc>
        <w:tc>
          <w:tcPr>
            <w:tcW w:w="1213" w:type="dxa"/>
            <w:vMerge w:val="restart"/>
            <w:vAlign w:val="center"/>
          </w:tcPr>
          <w:p>
            <w:pPr>
              <w:jc w:val="cente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76" w:type="dxa"/>
            <w:vAlign w:val="center"/>
          </w:tcPr>
          <w:p>
            <w:pPr>
              <w:snapToGrid w:val="0"/>
              <w:spacing w:line="280" w:lineRule="exact"/>
              <w:jc w:val="both"/>
            </w:pPr>
            <w:r>
              <w:rPr>
                <w:rFonts w:hint="eastAsia"/>
                <w:sz w:val="24"/>
                <w:szCs w:val="24"/>
              </w:rPr>
              <w:t>审核员：</w:t>
            </w:r>
            <w:r>
              <w:rPr>
                <w:rFonts w:hint="eastAsia"/>
                <w:sz w:val="24"/>
                <w:szCs w:val="24"/>
                <w:lang w:val="en-US" w:eastAsia="zh-CN"/>
              </w:rPr>
              <w:t>王宁敏</w:t>
            </w:r>
            <w:r>
              <w:rPr>
                <w:sz w:val="24"/>
                <w:szCs w:val="24"/>
              </w:rPr>
              <w:t xml:space="preserve">       </w:t>
            </w:r>
            <w:r>
              <w:rPr>
                <w:rFonts w:hint="eastAsia"/>
                <w:sz w:val="24"/>
                <w:szCs w:val="24"/>
              </w:rPr>
              <w:t>审核时间：</w:t>
            </w:r>
            <w:r>
              <w:rPr>
                <w:rFonts w:hint="eastAsia"/>
                <w:sz w:val="24"/>
                <w:szCs w:val="24"/>
                <w:lang w:val="en-US" w:eastAsia="zh-CN"/>
              </w:rPr>
              <w:t>2021-9-7  8:00-12:00</w:t>
            </w:r>
          </w:p>
        </w:tc>
        <w:tc>
          <w:tcPr>
            <w:tcW w:w="121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76" w:type="dxa"/>
            <w:vAlign w:val="center"/>
          </w:tcPr>
          <w:p>
            <w:pPr>
              <w:rPr>
                <w:rFonts w:hint="eastAsia" w:eastAsia="宋体"/>
                <w:sz w:val="24"/>
                <w:szCs w:val="24"/>
                <w:lang w:val="en-US" w:eastAsia="zh-CN"/>
              </w:rPr>
            </w:pPr>
            <w:r>
              <w:rPr>
                <w:rFonts w:hint="eastAsia"/>
                <w:sz w:val="24"/>
                <w:szCs w:val="24"/>
              </w:rPr>
              <w:t>审核条款：</w:t>
            </w:r>
            <w:r>
              <w:rPr>
                <w:rFonts w:hint="eastAsia" w:ascii="宋体" w:hAnsi="宋体" w:eastAsia="宋体" w:cs="Times New Roman"/>
                <w:sz w:val="21"/>
                <w:szCs w:val="21"/>
              </w:rPr>
              <w:t>5.3 组织的岗位、职责和权限、6.2 目标、能源指及其实现的策划、7.2 能力、7.3 意识、7.4沟通交流、8.1 运行的策划和控制、10.1不符合与纠正措施</w:t>
            </w:r>
            <w:r>
              <w:rPr>
                <w:rFonts w:hint="eastAsia" w:ascii="宋体" w:hAnsi="宋体" w:cs="Times New Roman"/>
                <w:sz w:val="21"/>
                <w:szCs w:val="21"/>
                <w:lang w:eastAsia="zh-CN"/>
              </w:rPr>
              <w:t>。</w:t>
            </w:r>
          </w:p>
        </w:tc>
        <w:tc>
          <w:tcPr>
            <w:tcW w:w="121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3" w:hRule="atLeast"/>
        </w:trPr>
        <w:tc>
          <w:tcPr>
            <w:tcW w:w="2160" w:type="dxa"/>
          </w:tcPr>
          <w:p>
            <w:pPr>
              <w:rPr>
                <w:rFonts w:hint="eastAsia"/>
              </w:rPr>
            </w:pPr>
            <w:r>
              <w:rPr>
                <w:rFonts w:hint="eastAsia"/>
              </w:rPr>
              <w:t>1.</w:t>
            </w:r>
            <w:r>
              <w:rPr>
                <w:rFonts w:hint="eastAsia"/>
                <w:lang w:val="en-US" w:eastAsia="zh-CN"/>
              </w:rPr>
              <w:t>能源</w:t>
            </w:r>
            <w:r>
              <w:rPr>
                <w:rFonts w:hint="eastAsia"/>
              </w:rPr>
              <w:t>职责、</w:t>
            </w:r>
            <w:r>
              <w:rPr>
                <w:rFonts w:hint="eastAsia"/>
                <w:lang w:val="en-US" w:eastAsia="zh-CN"/>
              </w:rPr>
              <w:t>能源</w:t>
            </w:r>
            <w:r>
              <w:rPr>
                <w:rFonts w:hint="eastAsia"/>
              </w:rPr>
              <w:t>管理目标及实现措施策划适宜性，履行职责和目标实现情况；</w:t>
            </w:r>
          </w:p>
          <w:p>
            <w:pPr>
              <w:pStyle w:val="6"/>
            </w:pPr>
          </w:p>
        </w:tc>
        <w:tc>
          <w:tcPr>
            <w:tcW w:w="960" w:type="dxa"/>
          </w:tcPr>
          <w:p>
            <w:r>
              <w:rPr>
                <w:rFonts w:hint="eastAsia" w:ascii="宋体" w:hAnsi="宋体" w:eastAsia="宋体" w:cs="Times New Roman"/>
                <w:sz w:val="21"/>
                <w:szCs w:val="21"/>
              </w:rPr>
              <w:t>5.3</w:t>
            </w:r>
            <w:r>
              <w:rPr>
                <w:rFonts w:hint="eastAsia" w:ascii="宋体" w:hAnsi="宋体" w:eastAsia="宋体" w:cs="Times New Roman"/>
                <w:sz w:val="21"/>
                <w:szCs w:val="21"/>
                <w:lang w:val="en-US" w:eastAsia="zh-CN"/>
              </w:rPr>
              <w:t>/</w:t>
            </w:r>
            <w:r>
              <w:rPr>
                <w:rFonts w:hint="eastAsia" w:ascii="宋体" w:hAnsi="宋体" w:eastAsia="宋体" w:cs="Times New Roman"/>
                <w:sz w:val="21"/>
                <w:szCs w:val="21"/>
              </w:rPr>
              <w:t>6.2</w:t>
            </w:r>
          </w:p>
        </w:tc>
        <w:tc>
          <w:tcPr>
            <w:tcW w:w="10376" w:type="dxa"/>
          </w:tcPr>
          <w:p>
            <w:pPr>
              <w:ind w:firstLine="420" w:firstLineChars="200"/>
              <w:rPr>
                <w:rFonts w:hint="eastAsia"/>
                <w:szCs w:val="22"/>
                <w:lang w:val="en-US" w:eastAsia="zh-CN"/>
              </w:rPr>
            </w:pPr>
            <w:r>
              <w:rPr>
                <w:rFonts w:hint="eastAsia"/>
                <w:lang w:val="en-US" w:eastAsia="zh-CN"/>
              </w:rPr>
              <w:t>1.综合部：领导：</w:t>
            </w:r>
            <w:r>
              <w:rPr>
                <w:rFonts w:hint="eastAsia"/>
                <w:szCs w:val="22"/>
                <w:lang w:val="en-US" w:eastAsia="zh-CN"/>
              </w:rPr>
              <w:t xml:space="preserve">张逸 </w:t>
            </w:r>
            <w:r>
              <w:rPr>
                <w:rFonts w:hint="eastAsia"/>
                <w:lang w:val="en-US" w:eastAsia="zh-CN"/>
              </w:rPr>
              <w:t>，共6人；提供部门及岗位职责：总经理、经营副总经理、总经理助理、保洁员、综合部经理助理、ERP专员、文员、预算及考核专员</w:t>
            </w:r>
            <w:r>
              <w:rPr>
                <w:rFonts w:hint="eastAsia"/>
                <w:szCs w:val="22"/>
                <w:lang w:val="en-US" w:eastAsia="zh-CN"/>
              </w:rPr>
              <w:t>。</w:t>
            </w:r>
          </w:p>
          <w:p>
            <w:pPr>
              <w:numPr>
                <w:ilvl w:val="0"/>
                <w:numId w:val="0"/>
              </w:numPr>
              <w:ind w:left="420" w:leftChars="0"/>
              <w:rPr>
                <w:rFonts w:hint="eastAsia"/>
                <w:szCs w:val="22"/>
                <w:lang w:val="en-US" w:eastAsia="zh-CN"/>
              </w:rPr>
            </w:pPr>
            <w:r>
              <w:rPr>
                <w:rFonts w:hint="eastAsia"/>
                <w:szCs w:val="22"/>
                <w:lang w:val="en-US" w:eastAsia="zh-CN"/>
              </w:rPr>
              <w:t>本部门的能源职责：人力资源规划。人事招聘与配置管理。员工培训与发展管理。绩效管理。薪酬福利管</w:t>
            </w:r>
          </w:p>
          <w:p>
            <w:pPr>
              <w:numPr>
                <w:ilvl w:val="0"/>
                <w:numId w:val="0"/>
              </w:numPr>
              <w:rPr>
                <w:rFonts w:hint="default"/>
                <w:lang w:val="en-US" w:eastAsia="zh-CN"/>
              </w:rPr>
            </w:pPr>
            <w:r>
              <w:rPr>
                <w:rFonts w:hint="eastAsia"/>
                <w:szCs w:val="22"/>
                <w:lang w:val="en-US" w:eastAsia="zh-CN"/>
              </w:rPr>
              <w:t>理。劳动关系管理。协助文化建设。事业部的人事工作。完成上级领导交办的其他任务，共涉及9条职责。</w:t>
            </w:r>
          </w:p>
          <w:p>
            <w:pPr>
              <w:pStyle w:val="6"/>
              <w:rPr>
                <w:rFonts w:hint="eastAsia"/>
                <w:lang w:val="en-US" w:eastAsia="zh-CN"/>
              </w:rPr>
            </w:pPr>
            <w:r>
              <w:rPr>
                <w:rFonts w:hint="eastAsia"/>
                <w:szCs w:val="22"/>
                <w:lang w:val="en-US" w:eastAsia="zh-CN"/>
              </w:rPr>
              <w:t>2.提供综合部能源管理目标</w:t>
            </w:r>
          </w:p>
          <w:p>
            <w:pPr>
              <w:ind w:firstLine="420" w:firstLineChars="200"/>
              <w:rPr>
                <w:rFonts w:hint="eastAsia"/>
                <w:lang w:val="en-US" w:eastAsia="zh-CN"/>
              </w:rPr>
            </w:pPr>
            <w:r>
              <w:rPr>
                <w:rFonts w:hint="eastAsia"/>
                <w:lang w:val="en-US" w:eastAsia="zh-CN"/>
              </w:rPr>
              <w:t xml:space="preserve">    保证公司二个目标指标的完成，</w:t>
            </w:r>
          </w:p>
          <w:p>
            <w:pPr>
              <w:pStyle w:val="6"/>
              <w:ind w:left="840" w:leftChars="400" w:firstLine="0" w:firstLineChars="0"/>
              <w:rPr>
                <w:rFonts w:hint="default"/>
                <w:lang w:val="en-US" w:eastAsia="zh-CN"/>
              </w:rPr>
            </w:pPr>
            <w:r>
              <w:rPr>
                <w:rFonts w:hint="eastAsia"/>
                <w:lang w:val="en-US" w:eastAsia="zh-CN"/>
              </w:rPr>
              <w:t xml:space="preserve">    </w:t>
            </w:r>
            <w:r>
              <w:rPr>
                <w:rFonts w:hint="eastAsia"/>
                <w:szCs w:val="22"/>
                <w:lang w:val="en-US" w:eastAsia="zh-CN"/>
              </w:rPr>
              <w:t>2020年能源管理体系目标指标为：公司级：单位产品能耗</w:t>
            </w:r>
            <w:r>
              <w:rPr>
                <w:rFonts w:hint="eastAsia" w:ascii="宋体" w:hAnsi="宋体" w:eastAsia="宋体" w:cs="宋体"/>
                <w:szCs w:val="22"/>
                <w:lang w:val="en-US" w:eastAsia="zh-CN"/>
              </w:rPr>
              <w:t>≦</w:t>
            </w:r>
            <w:r>
              <w:rPr>
                <w:rFonts w:hint="eastAsia"/>
                <w:szCs w:val="22"/>
                <w:lang w:val="en-US" w:eastAsia="zh-CN"/>
              </w:rPr>
              <w:t>1.48kgce/kg</w:t>
            </w:r>
          </w:p>
          <w:p>
            <w:pPr>
              <w:pStyle w:val="6"/>
              <w:rPr>
                <w:rFonts w:hint="default"/>
                <w:lang w:val="en-US" w:eastAsia="zh-CN"/>
              </w:rPr>
            </w:pPr>
            <w:r>
              <w:rPr>
                <w:rFonts w:hint="eastAsia"/>
                <w:lang w:val="en-US" w:eastAsia="zh-CN"/>
              </w:rPr>
              <w:t xml:space="preserve">   查阅相关记录，全部完成。</w:t>
            </w:r>
          </w:p>
          <w:p>
            <w:pPr>
              <w:pStyle w:val="6"/>
              <w:numPr>
                <w:ilvl w:val="0"/>
                <w:numId w:val="0"/>
              </w:numPr>
              <w:ind w:leftChars="200" w:firstLine="420" w:firstLineChars="200"/>
              <w:rPr>
                <w:rFonts w:hint="default"/>
                <w:szCs w:val="22"/>
                <w:lang w:val="en-US" w:eastAsia="zh-CN"/>
              </w:rPr>
            </w:pPr>
            <w:r>
              <w:rPr>
                <w:rFonts w:hint="eastAsia"/>
                <w:lang w:val="en-US" w:eastAsia="zh-CN"/>
              </w:rPr>
              <w:t>3.查阅公司对各部门的考核。</w:t>
            </w:r>
          </w:p>
        </w:tc>
        <w:tc>
          <w:tcPr>
            <w:tcW w:w="1213" w:type="dxa"/>
          </w:tcPr>
          <w:p/>
          <w:p>
            <w:pPr>
              <w:pStyle w:val="6"/>
            </w:pPr>
          </w:p>
          <w:p/>
          <w:p>
            <w:pPr>
              <w:pStyle w:val="6"/>
              <w:rPr>
                <w:rFonts w:hint="eastAsia" w:eastAsia="宋体"/>
                <w:lang w:val="en-US" w:eastAsia="zh-CN"/>
              </w:rPr>
            </w:pPr>
            <w:r>
              <w:rPr>
                <w:rFonts w:hint="eastAsia"/>
                <w:lang w:val="en-US" w:eastAsia="zh-CN"/>
              </w:rPr>
              <w:t>y</w:t>
            </w:r>
          </w:p>
          <w:p/>
          <w:p>
            <w:pPr>
              <w:pStyle w:val="6"/>
            </w:pPr>
          </w:p>
          <w:p/>
          <w:p>
            <w:pPr>
              <w:pStyle w:val="6"/>
            </w:pPr>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ascii="宋体" w:hAnsi="宋体" w:eastAsia="宋体" w:cs="Times New Roman"/>
                <w:sz w:val="21"/>
                <w:szCs w:val="21"/>
              </w:rPr>
              <w:t>2.</w:t>
            </w:r>
            <w:r>
              <w:rPr>
                <w:rFonts w:hint="eastAsia" w:ascii="宋体" w:hAnsi="宋体" w:eastAsia="宋体" w:cs="Times New Roman"/>
                <w:sz w:val="21"/>
                <w:szCs w:val="21"/>
                <w:lang w:val="en-US" w:eastAsia="zh-CN"/>
              </w:rPr>
              <w:t>查员工</w:t>
            </w:r>
            <w:r>
              <w:rPr>
                <w:rFonts w:hint="eastAsia" w:ascii="宋体" w:hAnsi="宋体" w:eastAsia="宋体" w:cs="Times New Roman"/>
                <w:sz w:val="21"/>
                <w:szCs w:val="21"/>
              </w:rPr>
              <w:t>的能力、意识及培训策划与实施</w:t>
            </w:r>
            <w:r>
              <w:rPr>
                <w:rFonts w:hint="eastAsia" w:ascii="宋体" w:hAnsi="宋体" w:eastAsia="宋体" w:cs="Times New Roman"/>
                <w:sz w:val="21"/>
                <w:szCs w:val="21"/>
                <w:lang w:val="en-US" w:eastAsia="zh-CN"/>
              </w:rPr>
              <w:t>效果</w:t>
            </w:r>
            <w:r>
              <w:rPr>
                <w:rFonts w:hint="eastAsia" w:ascii="宋体" w:hAnsi="宋体" w:cs="Times New Roman"/>
                <w:sz w:val="21"/>
                <w:szCs w:val="21"/>
                <w:lang w:val="en-US" w:eastAsia="zh-CN"/>
              </w:rPr>
              <w:t>，沟通</w:t>
            </w:r>
            <w:r>
              <w:rPr>
                <w:rFonts w:hint="eastAsia" w:ascii="宋体" w:hAnsi="宋体" w:eastAsia="宋体" w:cs="Times New Roman"/>
                <w:sz w:val="21"/>
                <w:szCs w:val="21"/>
                <w:lang w:eastAsia="zh-CN"/>
              </w:rPr>
              <w:t>；</w:t>
            </w:r>
          </w:p>
        </w:tc>
        <w:tc>
          <w:tcPr>
            <w:tcW w:w="960" w:type="dxa"/>
          </w:tcPr>
          <w:p>
            <w:pPr>
              <w:rPr>
                <w:rFonts w:hint="eastAsia"/>
              </w:rPr>
            </w:pPr>
            <w:r>
              <w:rPr>
                <w:rFonts w:hint="eastAsia"/>
              </w:rPr>
              <w:t>7.2</w:t>
            </w:r>
            <w:r>
              <w:rPr>
                <w:rFonts w:hint="eastAsia"/>
                <w:lang w:val="en-US" w:eastAsia="zh-CN"/>
              </w:rPr>
              <w:t>/</w:t>
            </w:r>
            <w:r>
              <w:rPr>
                <w:rFonts w:hint="eastAsia"/>
              </w:rPr>
              <w:t>7.3</w:t>
            </w:r>
          </w:p>
          <w:p>
            <w:pPr>
              <w:pStyle w:val="6"/>
              <w:ind w:left="0" w:leftChars="0" w:firstLine="0" w:firstLineChars="0"/>
              <w:rPr>
                <w:rFonts w:hint="default" w:eastAsia="宋体"/>
                <w:lang w:val="en-US" w:eastAsia="zh-CN"/>
              </w:rPr>
            </w:pPr>
            <w:r>
              <w:rPr>
                <w:rFonts w:hint="eastAsia" w:ascii="宋体" w:hAnsi="宋体" w:cs="Times New Roman"/>
                <w:sz w:val="21"/>
                <w:szCs w:val="21"/>
                <w:lang w:val="en-US" w:eastAsia="zh-CN"/>
              </w:rPr>
              <w:t>7</w:t>
            </w:r>
            <w:r>
              <w:rPr>
                <w:rFonts w:hint="eastAsia"/>
              </w:rPr>
              <w:t>.</w:t>
            </w:r>
            <w:r>
              <w:rPr>
                <w:rFonts w:hint="eastAsia" w:ascii="宋体" w:hAnsi="宋体" w:cs="Times New Roman"/>
                <w:sz w:val="21"/>
                <w:szCs w:val="21"/>
                <w:lang w:val="en-US" w:eastAsia="zh-CN"/>
              </w:rPr>
              <w:t>4</w:t>
            </w:r>
          </w:p>
        </w:tc>
        <w:tc>
          <w:tcPr>
            <w:tcW w:w="10376" w:type="dxa"/>
          </w:tcPr>
          <w:p>
            <w:pPr>
              <w:numPr>
                <w:ilvl w:val="0"/>
                <w:numId w:val="1"/>
              </w:numPr>
              <w:ind w:firstLine="420"/>
              <w:rPr>
                <w:rFonts w:hint="eastAsia"/>
                <w:lang w:val="en-US" w:eastAsia="zh-CN"/>
              </w:rPr>
            </w:pPr>
            <w:r>
              <w:rPr>
                <w:rFonts w:hint="eastAsia"/>
                <w:lang w:val="en-US" w:eastAsia="zh-CN"/>
              </w:rPr>
              <w:t>查阅文件</w:t>
            </w:r>
          </w:p>
          <w:p>
            <w:pPr>
              <w:numPr>
                <w:ilvl w:val="0"/>
                <w:numId w:val="0"/>
              </w:numPr>
              <w:ind w:firstLine="420" w:firstLineChars="200"/>
              <w:rPr>
                <w:rFonts w:hint="eastAsia"/>
              </w:rPr>
            </w:pPr>
            <w:r>
              <w:rPr>
                <w:rFonts w:hint="eastAsia"/>
              </w:rPr>
              <w:t>策划编制有</w:t>
            </w:r>
            <w:r>
              <w:rPr>
                <w:rFonts w:hint="eastAsia"/>
                <w:lang w:eastAsia="zh-CN"/>
              </w:rPr>
              <w:t>《En/HB-CX-04</w:t>
            </w:r>
            <w:r>
              <w:rPr>
                <w:rFonts w:hint="eastAsia"/>
                <w:lang w:eastAsia="zh-CN"/>
              </w:rPr>
              <w:tab/>
            </w:r>
            <w:r>
              <w:rPr>
                <w:rFonts w:hint="eastAsia"/>
                <w:lang w:eastAsia="zh-CN"/>
              </w:rPr>
              <w:t>能力、意识和培训控制程序》《En/HB-CX-03</w:t>
            </w:r>
            <w:r>
              <w:rPr>
                <w:rFonts w:hint="eastAsia"/>
                <w:lang w:eastAsia="zh-CN"/>
              </w:rPr>
              <w:tab/>
            </w:r>
            <w:r>
              <w:rPr>
                <w:rFonts w:hint="eastAsia"/>
                <w:lang w:eastAsia="zh-CN"/>
              </w:rPr>
              <w:t>信息沟通程序》</w:t>
            </w:r>
            <w:r>
              <w:rPr>
                <w:rFonts w:hint="eastAsia"/>
                <w:lang w:val="en-US" w:eastAsia="zh-CN"/>
              </w:rPr>
              <w:t>《En/HB-CX-01文件控制程序</w:t>
            </w:r>
            <w:r>
              <w:rPr>
                <w:rFonts w:hint="eastAsia"/>
                <w:lang w:eastAsia="zh-CN"/>
              </w:rPr>
              <w:t>》；人力资源管理程序、公司员工培训管理办法、制度标准格式、印章使用管理制度、办公用品管理制度、车辆管理制度、小额工程项目管理规定、物资出门证管理制度、师带徒管理办法、厂区非机动车辆管理规定、考勤管理规定、年休假实施细则等，有发布，实施。有编审批。确保了其适宜性和充分性。</w:t>
            </w:r>
            <w:r>
              <w:rPr>
                <w:rFonts w:hint="eastAsia"/>
                <w:lang w:val="en-US" w:eastAsia="zh-CN"/>
              </w:rPr>
              <w:t>并且在《能源手册》7.2、7.3、7.4条款中</w:t>
            </w:r>
            <w:r>
              <w:rPr>
                <w:rFonts w:hint="eastAsia"/>
              </w:rPr>
              <w:t>内容规定了人力资源部应组织确定与能源绩效和能源管理体系具有影响的人员必备的基本能力要求。</w:t>
            </w:r>
          </w:p>
          <w:p>
            <w:pPr>
              <w:ind w:firstLine="420"/>
              <w:rPr>
                <w:rFonts w:hint="default"/>
                <w:lang w:val="en-US" w:eastAsia="zh-CN"/>
              </w:rPr>
            </w:pPr>
            <w:r>
              <w:rPr>
                <w:rFonts w:hint="eastAsia"/>
                <w:lang w:val="en-US" w:eastAsia="zh-CN"/>
              </w:rPr>
              <w:t>在能力方面：</w:t>
            </w:r>
          </w:p>
          <w:p>
            <w:pPr>
              <w:ind w:firstLine="420"/>
              <w:rPr>
                <w:rFonts w:hint="eastAsia"/>
              </w:rPr>
            </w:pPr>
            <w:r>
              <w:rPr>
                <w:rFonts w:hint="eastAsia"/>
                <w:lang w:val="en-US" w:eastAsia="zh-CN"/>
              </w:rPr>
              <w:t>公司制定了《</w:t>
            </w:r>
            <w:r>
              <w:rPr>
                <w:rFonts w:hint="eastAsia"/>
                <w:lang w:eastAsia="zh-CN"/>
              </w:rPr>
              <w:t>能力培训和意识控制程序</w:t>
            </w:r>
            <w:r>
              <w:rPr>
                <w:rFonts w:hint="eastAsia"/>
                <w:lang w:val="en-US" w:eastAsia="zh-CN"/>
              </w:rPr>
              <w:t>》，</w:t>
            </w:r>
            <w:r>
              <w:rPr>
                <w:rFonts w:hint="eastAsia"/>
              </w:rPr>
              <w:t xml:space="preserve">规定能源管理和能源使用岗位人员招聘、培训、使用的有关要求，确保本公司能源管理和能源使用岗位人员的能力是能够胜任的。 </w:t>
            </w:r>
          </w:p>
          <w:p>
            <w:pPr>
              <w:ind w:firstLine="420"/>
              <w:rPr>
                <w:rFonts w:hint="eastAsia"/>
              </w:rPr>
            </w:pPr>
            <w:r>
              <w:rPr>
                <w:rFonts w:hint="eastAsia"/>
              </w:rPr>
              <w:t xml:space="preserve">a）制定能源管理和能源使用岗位任职要求，确保相关人员能力符合岗位需要； </w:t>
            </w:r>
          </w:p>
          <w:p>
            <w:pPr>
              <w:ind w:firstLine="420"/>
              <w:rPr>
                <w:rFonts w:hint="eastAsia"/>
              </w:rPr>
            </w:pPr>
            <w:r>
              <w:rPr>
                <w:rFonts w:hint="eastAsia"/>
              </w:rPr>
              <w:t xml:space="preserve">b）从教育、培训、技能和经验等方面考察，聘用和培训所有从事能源管理有关工作的人员，使其具备相应的能力，并保存适当的记录； </w:t>
            </w:r>
          </w:p>
          <w:p>
            <w:pPr>
              <w:ind w:firstLine="420"/>
              <w:rPr>
                <w:rFonts w:hint="eastAsia"/>
              </w:rPr>
            </w:pPr>
            <w:r>
              <w:rPr>
                <w:rFonts w:hint="eastAsia"/>
              </w:rPr>
              <w:t xml:space="preserve">c）公司按如下程序开展能力、意识的培训： </w:t>
            </w:r>
          </w:p>
          <w:p>
            <w:pPr>
              <w:ind w:firstLine="420"/>
              <w:rPr>
                <w:rFonts w:hint="eastAsia"/>
              </w:rPr>
            </w:pPr>
            <w:r>
              <w:rPr>
                <w:rFonts w:hint="eastAsia"/>
              </w:rPr>
              <w:t>识别并确定培训需求，培训对象包括在岗员工、转岗员工和新员工；</w:t>
            </w:r>
          </w:p>
          <w:p>
            <w:pPr>
              <w:ind w:firstLine="420"/>
              <w:rPr>
                <w:rFonts w:hint="eastAsia"/>
              </w:rPr>
            </w:pPr>
            <w:r>
              <w:rPr>
                <w:rFonts w:hint="eastAsia"/>
              </w:rPr>
              <w:t xml:space="preserve">制定培训计划，计划包括继续培训计划和入职培训计划；实施专业技能培训，确保岗位能力和满足资质要求；评价培训结果，方式包括考试，技能考核、综合评价等。 </w:t>
            </w:r>
          </w:p>
          <w:p>
            <w:pPr>
              <w:ind w:firstLine="420"/>
              <w:rPr>
                <w:rFonts w:hint="eastAsia"/>
              </w:rPr>
            </w:pPr>
            <w:r>
              <w:rPr>
                <w:rFonts w:hint="eastAsia"/>
              </w:rPr>
              <w:t>d）根据人员的不同职能、层次和岗位，进行相关内容的培训。</w:t>
            </w:r>
          </w:p>
          <w:p>
            <w:pPr>
              <w:ind w:firstLine="420"/>
              <w:rPr>
                <w:rFonts w:hint="eastAsia"/>
                <w:lang w:val="en-US" w:eastAsia="zh-CN"/>
              </w:rPr>
            </w:pPr>
            <w:r>
              <w:rPr>
                <w:rFonts w:hint="eastAsia"/>
                <w:lang w:val="en-US" w:eastAsia="zh-CN"/>
              </w:rPr>
              <w:t>在</w:t>
            </w:r>
            <w:r>
              <w:rPr>
                <w:rFonts w:hint="eastAsia"/>
              </w:rPr>
              <w:t>意识</w:t>
            </w:r>
            <w:r>
              <w:rPr>
                <w:rFonts w:hint="eastAsia"/>
                <w:lang w:val="en-US" w:eastAsia="zh-CN"/>
              </w:rPr>
              <w:t>方面：</w:t>
            </w:r>
          </w:p>
          <w:p>
            <w:pPr>
              <w:ind w:firstLine="420"/>
              <w:rPr>
                <w:rFonts w:hint="eastAsia"/>
              </w:rPr>
            </w:pPr>
            <w:r>
              <w:rPr>
                <w:rFonts w:hint="eastAsia"/>
                <w:lang w:val="en-US" w:eastAsia="zh-CN"/>
              </w:rPr>
              <w:t>公司制定了《</w:t>
            </w:r>
            <w:r>
              <w:rPr>
                <w:rFonts w:hint="eastAsia"/>
                <w:lang w:eastAsia="zh-CN"/>
              </w:rPr>
              <w:t>能力培训和意识控制程序</w:t>
            </w:r>
            <w:r>
              <w:rPr>
                <w:rFonts w:hint="eastAsia"/>
                <w:lang w:val="en-US" w:eastAsia="zh-CN"/>
              </w:rPr>
              <w:t>》，</w:t>
            </w:r>
            <w:r>
              <w:rPr>
                <w:rFonts w:hint="eastAsia"/>
              </w:rPr>
              <w:t xml:space="preserve">在公司能源管理体系下工作的人员应意识到： </w:t>
            </w:r>
          </w:p>
          <w:p>
            <w:pPr>
              <w:ind w:firstLine="420"/>
              <w:rPr>
                <w:rFonts w:hint="eastAsia"/>
              </w:rPr>
            </w:pPr>
            <w:r>
              <w:rPr>
                <w:rFonts w:hint="eastAsia"/>
              </w:rPr>
              <w:t xml:space="preserve">a) 符合能源方针、程序和能源管理体系要求的重要性； </w:t>
            </w:r>
          </w:p>
          <w:p>
            <w:pPr>
              <w:ind w:firstLine="420"/>
              <w:rPr>
                <w:rFonts w:hint="eastAsia"/>
              </w:rPr>
            </w:pPr>
            <w:r>
              <w:rPr>
                <w:rFonts w:hint="eastAsia"/>
              </w:rPr>
              <w:t xml:space="preserve">b) 他们对能源管理体系有效性的贡献，包括目标和能源指标的实现以及改进能源绩效的益处； </w:t>
            </w:r>
          </w:p>
          <w:p>
            <w:pPr>
              <w:ind w:firstLine="420"/>
              <w:rPr>
                <w:rFonts w:hint="eastAsia"/>
              </w:rPr>
            </w:pPr>
            <w:r>
              <w:rPr>
                <w:rFonts w:hint="eastAsia"/>
              </w:rPr>
              <w:t xml:space="preserve">c) 自身活动或行为对能源绩效的影响； </w:t>
            </w:r>
          </w:p>
          <w:p>
            <w:pPr>
              <w:ind w:firstLine="420"/>
              <w:rPr>
                <w:rFonts w:hint="eastAsia"/>
              </w:rPr>
            </w:pPr>
            <w:r>
              <w:rPr>
                <w:rFonts w:hint="eastAsia"/>
              </w:rPr>
              <w:t>d) 不符合能源管理体系要求的后果。。</w:t>
            </w:r>
          </w:p>
          <w:p>
            <w:pPr>
              <w:ind w:firstLine="420" w:firstLineChars="200"/>
              <w:rPr>
                <w:rFonts w:hint="eastAsia"/>
                <w:lang w:val="en-US" w:eastAsia="zh-CN"/>
              </w:rPr>
            </w:pPr>
            <w:r>
              <w:rPr>
                <w:rFonts w:hint="eastAsia"/>
                <w:lang w:val="en-US" w:eastAsia="zh-CN"/>
              </w:rPr>
              <w:t>在沟通方面：</w:t>
            </w:r>
          </w:p>
          <w:p>
            <w:pPr>
              <w:ind w:firstLine="420" w:firstLineChars="200"/>
              <w:rPr>
                <w:rFonts w:hint="eastAsia"/>
              </w:rPr>
            </w:pPr>
            <w:r>
              <w:rPr>
                <w:rFonts w:hint="eastAsia"/>
              </w:rPr>
              <w:t>公司建立、实施并保持《</w:t>
            </w:r>
            <w:r>
              <w:rPr>
                <w:rFonts w:hint="eastAsia"/>
                <w:lang w:eastAsia="zh-CN"/>
              </w:rPr>
              <w:t>信息沟通控制程序</w:t>
            </w:r>
            <w:r>
              <w:rPr>
                <w:rFonts w:hint="eastAsia"/>
              </w:rPr>
              <w:t>》，以建立并保持与员工、相关方交流沟通，确保能源管理体系的有效运行。</w:t>
            </w:r>
          </w:p>
          <w:p>
            <w:pPr>
              <w:ind w:firstLine="420" w:firstLineChars="200"/>
              <w:rPr>
                <w:rFonts w:hint="eastAsia"/>
              </w:rPr>
            </w:pPr>
            <w:r>
              <w:rPr>
                <w:rFonts w:hint="eastAsia"/>
                <w:lang w:val="en-US" w:eastAsia="zh-CN"/>
              </w:rPr>
              <w:t>规定能源管理体系的相关信息进行内、外部交流的程序及交流的方式、内容、对象和时机。</w:t>
            </w:r>
          </w:p>
          <w:p>
            <w:pPr>
              <w:ind w:firstLine="420" w:firstLineChars="200"/>
              <w:rPr>
                <w:rFonts w:hint="eastAsia"/>
              </w:rPr>
            </w:pPr>
            <w:r>
              <w:rPr>
                <w:rFonts w:hint="eastAsia"/>
              </w:rPr>
              <w:t>信息的沟通方式主要有：文件、会议、宣传栏、计算机网络、报表等形式。</w:t>
            </w:r>
          </w:p>
          <w:p>
            <w:pPr>
              <w:ind w:firstLine="420" w:firstLineChars="200"/>
              <w:rPr>
                <w:rFonts w:hint="eastAsia"/>
                <w:lang w:val="en-US" w:eastAsia="zh-CN"/>
              </w:rPr>
            </w:pPr>
            <w:r>
              <w:rPr>
                <w:rFonts w:hint="eastAsia"/>
                <w:lang w:val="en-US" w:eastAsia="zh-CN"/>
              </w:rPr>
              <w:t>目前本部门没有发生有上述的问题。</w:t>
            </w:r>
          </w:p>
          <w:p>
            <w:pPr>
              <w:numPr>
                <w:ilvl w:val="0"/>
                <w:numId w:val="2"/>
              </w:numPr>
              <w:ind w:firstLine="420" w:firstLineChars="200"/>
              <w:rPr>
                <w:rFonts w:hint="eastAsia"/>
                <w:color w:val="000000" w:themeColor="text1"/>
                <w:lang w:val="en-US" w:eastAsia="zh-CN"/>
              </w:rPr>
            </w:pPr>
            <w:r>
              <w:rPr>
                <w:rFonts w:hint="eastAsia"/>
                <w:color w:val="000000" w:themeColor="text1"/>
                <w:lang w:val="en-US" w:eastAsia="zh-CN"/>
              </w:rPr>
              <w:t>查培训</w:t>
            </w:r>
          </w:p>
          <w:p>
            <w:pPr>
              <w:rPr>
                <w:rFonts w:hint="eastAsia"/>
                <w:color w:val="000000" w:themeColor="text1"/>
                <w:lang w:val="en-US" w:eastAsia="zh-CN"/>
              </w:rPr>
            </w:pPr>
            <w:r>
              <w:rPr>
                <w:rFonts w:hint="eastAsia"/>
                <w:color w:val="000000" w:themeColor="text1"/>
                <w:lang w:val="en-US" w:eastAsia="zh-CN"/>
              </w:rPr>
              <w:t>提供《2020年培训计划》《2021年培训计划》，涵盖内容有：序号</w:t>
            </w:r>
            <w:r>
              <w:rPr>
                <w:rFonts w:hint="eastAsia"/>
                <w:color w:val="000000" w:themeColor="text1"/>
                <w:lang w:val="en-US" w:eastAsia="zh-CN"/>
              </w:rPr>
              <w:tab/>
            </w:r>
            <w:r>
              <w:rPr>
                <w:rFonts w:hint="eastAsia"/>
                <w:color w:val="000000" w:themeColor="text1"/>
                <w:lang w:val="en-US" w:eastAsia="zh-CN"/>
              </w:rPr>
              <w:t>培训内容</w:t>
            </w:r>
            <w:r>
              <w:rPr>
                <w:rFonts w:hint="eastAsia"/>
                <w:color w:val="000000" w:themeColor="text1"/>
                <w:lang w:val="en-US" w:eastAsia="zh-CN"/>
              </w:rPr>
              <w:tab/>
            </w:r>
            <w:r>
              <w:rPr>
                <w:rFonts w:hint="eastAsia"/>
                <w:color w:val="000000" w:themeColor="text1"/>
                <w:lang w:val="en-US" w:eastAsia="zh-CN"/>
              </w:rPr>
              <w:t>培训对象</w:t>
            </w:r>
            <w:r>
              <w:rPr>
                <w:rFonts w:hint="eastAsia"/>
                <w:color w:val="000000" w:themeColor="text1"/>
                <w:lang w:val="en-US" w:eastAsia="zh-CN"/>
              </w:rPr>
              <w:tab/>
            </w:r>
            <w:r>
              <w:rPr>
                <w:rFonts w:hint="eastAsia"/>
                <w:color w:val="000000" w:themeColor="text1"/>
                <w:lang w:val="en-US" w:eastAsia="zh-CN"/>
              </w:rPr>
              <w:t>培训形式</w:t>
            </w:r>
          </w:p>
          <w:p>
            <w:pPr>
              <w:rPr>
                <w:rFonts w:hint="eastAsia"/>
                <w:color w:val="000000" w:themeColor="text1"/>
                <w:lang w:val="en-US" w:eastAsia="zh-CN"/>
              </w:rPr>
            </w:pPr>
            <w:r>
              <w:rPr>
                <w:rFonts w:hint="eastAsia"/>
                <w:color w:val="000000" w:themeColor="text1"/>
                <w:lang w:val="en-US" w:eastAsia="zh-CN"/>
              </w:rPr>
              <w:t>实施部门或培训讲师</w:t>
            </w:r>
            <w:r>
              <w:rPr>
                <w:rFonts w:hint="eastAsia"/>
                <w:color w:val="000000" w:themeColor="text1"/>
                <w:lang w:val="en-US" w:eastAsia="zh-CN"/>
              </w:rPr>
              <w:tab/>
            </w:r>
            <w:r>
              <w:rPr>
                <w:rFonts w:hint="eastAsia"/>
                <w:color w:val="000000" w:themeColor="text1"/>
                <w:lang w:val="en-US" w:eastAsia="zh-CN"/>
              </w:rPr>
              <w:t>计划培训完成时间</w:t>
            </w:r>
            <w:r>
              <w:rPr>
                <w:rFonts w:hint="eastAsia"/>
                <w:color w:val="000000" w:themeColor="text1"/>
                <w:lang w:val="en-US" w:eastAsia="zh-CN"/>
              </w:rPr>
              <w:tab/>
            </w:r>
            <w:r>
              <w:rPr>
                <w:rFonts w:hint="eastAsia"/>
                <w:color w:val="000000" w:themeColor="text1"/>
                <w:lang w:val="en-US" w:eastAsia="zh-CN"/>
              </w:rPr>
              <w:t>培训实际完成情况</w:t>
            </w:r>
            <w:r>
              <w:rPr>
                <w:rFonts w:hint="eastAsia"/>
                <w:color w:val="000000" w:themeColor="text1"/>
                <w:lang w:val="en-US" w:eastAsia="zh-CN"/>
              </w:rPr>
              <w:tab/>
            </w:r>
            <w:r>
              <w:rPr>
                <w:rFonts w:hint="eastAsia"/>
                <w:color w:val="000000" w:themeColor="text1"/>
                <w:lang w:val="en-US" w:eastAsia="zh-CN"/>
              </w:rPr>
              <w:t>备注。</w:t>
            </w:r>
          </w:p>
          <w:p>
            <w:pPr>
              <w:pStyle w:val="6"/>
              <w:rPr>
                <w:rFonts w:hint="eastAsia"/>
                <w:color w:val="0000FF"/>
                <w:lang w:val="en-US" w:eastAsia="zh-CN"/>
              </w:rPr>
            </w:pPr>
            <w:r>
              <w:rPr>
                <w:rFonts w:hint="eastAsia"/>
                <w:color w:val="000000" w:themeColor="text1"/>
                <w:lang w:val="en-US" w:eastAsia="zh-CN"/>
              </w:rPr>
              <w:t>其中涉及有能源培训：</w:t>
            </w:r>
          </w:p>
          <w:p>
            <w:pPr>
              <w:numPr>
                <w:ilvl w:val="0"/>
                <w:numId w:val="0"/>
              </w:numPr>
              <w:ind w:firstLine="420" w:firstLineChars="200"/>
              <w:rPr>
                <w:rFonts w:hint="eastAsia"/>
                <w:color w:val="000000" w:themeColor="text1"/>
                <w:lang w:val="en-US" w:eastAsia="zh-CN"/>
              </w:rPr>
            </w:pPr>
            <w:r>
              <w:rPr>
                <w:rFonts w:hint="eastAsia"/>
                <w:color w:val="000000" w:themeColor="text1"/>
                <w:lang w:val="en-US" w:eastAsia="zh-CN"/>
              </w:rPr>
              <w:t>1、各部门岗位安全操作培训</w:t>
            </w:r>
            <w:r>
              <w:rPr>
                <w:rFonts w:hint="eastAsia"/>
                <w:color w:val="000000" w:themeColor="text1"/>
                <w:lang w:val="en-US" w:eastAsia="zh-CN"/>
              </w:rPr>
              <w:tab/>
            </w:r>
            <w:r>
              <w:rPr>
                <w:rFonts w:hint="eastAsia"/>
                <w:color w:val="000000" w:themeColor="text1"/>
                <w:lang w:val="en-US" w:eastAsia="zh-CN"/>
              </w:rPr>
              <w:t>操作人员</w:t>
            </w:r>
            <w:r>
              <w:rPr>
                <w:rFonts w:hint="eastAsia"/>
                <w:color w:val="000000" w:themeColor="text1"/>
                <w:lang w:val="en-US" w:eastAsia="zh-CN"/>
              </w:rPr>
              <w:tab/>
            </w:r>
            <w:r>
              <w:rPr>
                <w:rFonts w:hint="eastAsia"/>
                <w:color w:val="000000" w:themeColor="text1"/>
                <w:lang w:val="en-US" w:eastAsia="zh-CN"/>
              </w:rPr>
              <w:t>内部培训</w:t>
            </w:r>
            <w:r>
              <w:rPr>
                <w:rFonts w:hint="eastAsia"/>
                <w:color w:val="000000" w:themeColor="text1"/>
                <w:lang w:val="en-US" w:eastAsia="zh-CN"/>
              </w:rPr>
              <w:tab/>
            </w:r>
            <w:r>
              <w:rPr>
                <w:rFonts w:hint="eastAsia"/>
                <w:color w:val="000000" w:themeColor="text1"/>
                <w:lang w:val="en-US" w:eastAsia="zh-CN"/>
              </w:rPr>
              <w:t>各兼职安全员</w:t>
            </w:r>
            <w:r>
              <w:rPr>
                <w:rFonts w:hint="eastAsia"/>
                <w:color w:val="000000" w:themeColor="text1"/>
                <w:lang w:val="en-US" w:eastAsia="zh-CN"/>
              </w:rPr>
              <w:tab/>
            </w:r>
            <w:r>
              <w:rPr>
                <w:rFonts w:hint="eastAsia"/>
                <w:color w:val="000000" w:themeColor="text1"/>
                <w:lang w:val="en-US" w:eastAsia="zh-CN"/>
              </w:rPr>
              <w:t>4-12月。</w:t>
            </w:r>
          </w:p>
          <w:p>
            <w:pPr>
              <w:pStyle w:val="6"/>
              <w:numPr>
                <w:ilvl w:val="0"/>
                <w:numId w:val="0"/>
              </w:numPr>
              <w:ind w:firstLine="420" w:firstLineChars="200"/>
              <w:rPr>
                <w:rFonts w:hint="eastAsia"/>
                <w:lang w:val="en-US" w:eastAsia="zh-CN"/>
              </w:rPr>
            </w:pPr>
            <w:r>
              <w:rPr>
                <w:rFonts w:hint="eastAsia"/>
                <w:lang w:val="en-US" w:eastAsia="zh-CN"/>
              </w:rPr>
              <w:t>2、危险化学品从业人员培训及取证</w:t>
            </w:r>
            <w:r>
              <w:rPr>
                <w:rFonts w:hint="eastAsia"/>
                <w:lang w:val="en-US" w:eastAsia="zh-CN"/>
              </w:rPr>
              <w:tab/>
            </w:r>
            <w:r>
              <w:rPr>
                <w:rFonts w:hint="eastAsia"/>
                <w:lang w:val="en-US" w:eastAsia="zh-CN"/>
              </w:rPr>
              <w:t>热轧酸洗从业员工</w:t>
            </w:r>
            <w:r>
              <w:rPr>
                <w:rFonts w:hint="eastAsia"/>
                <w:lang w:val="en-US" w:eastAsia="zh-CN"/>
              </w:rPr>
              <w:tab/>
            </w:r>
            <w:r>
              <w:rPr>
                <w:rFonts w:hint="eastAsia"/>
                <w:lang w:val="en-US" w:eastAsia="zh-CN"/>
              </w:rPr>
              <w:t>外部培训</w:t>
            </w:r>
            <w:r>
              <w:rPr>
                <w:rFonts w:hint="eastAsia"/>
                <w:lang w:val="en-US" w:eastAsia="zh-CN"/>
              </w:rPr>
              <w:tab/>
            </w:r>
            <w:r>
              <w:rPr>
                <w:rFonts w:hint="eastAsia"/>
                <w:lang w:val="en-US" w:eastAsia="zh-CN"/>
              </w:rPr>
              <w:t>安全环保部</w:t>
            </w:r>
            <w:r>
              <w:rPr>
                <w:rFonts w:hint="eastAsia"/>
                <w:lang w:val="en-US" w:eastAsia="zh-CN"/>
              </w:rPr>
              <w:tab/>
            </w:r>
            <w:r>
              <w:rPr>
                <w:rFonts w:hint="eastAsia"/>
                <w:lang w:val="en-US" w:eastAsia="zh-CN"/>
              </w:rPr>
              <w:t>根据安监局培训时间制定。    全年共有17项培训。抽查培训记录：</w:t>
            </w:r>
          </w:p>
          <w:p>
            <w:pPr>
              <w:jc w:val="center"/>
              <w:rPr>
                <w:rFonts w:hint="eastAsia"/>
                <w:lang w:val="en-US" w:eastAsia="zh-CN"/>
              </w:rPr>
            </w:pPr>
            <w:r>
              <w:drawing>
                <wp:inline distT="0" distB="0" distL="114300" distR="114300">
                  <wp:extent cx="3514090" cy="4808855"/>
                  <wp:effectExtent l="0" t="0" r="635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3514090" cy="4808855"/>
                          </a:xfrm>
                          <a:prstGeom prst="rect">
                            <a:avLst/>
                          </a:prstGeom>
                          <a:noFill/>
                          <a:ln>
                            <a:noFill/>
                          </a:ln>
                        </pic:spPr>
                      </pic:pic>
                    </a:graphicData>
                  </a:graphic>
                </wp:inline>
              </w:drawing>
            </w:r>
          </w:p>
          <w:p>
            <w:pPr>
              <w:pStyle w:val="2"/>
              <w:rPr>
                <w:rFonts w:hint="eastAsia"/>
                <w:lang w:val="en-US" w:eastAsia="zh-CN"/>
              </w:rPr>
            </w:pPr>
          </w:p>
          <w:p>
            <w:pPr>
              <w:numPr>
                <w:ilvl w:val="0"/>
                <w:numId w:val="2"/>
              </w:numPr>
              <w:ind w:left="0" w:leftChars="0" w:firstLine="420" w:firstLineChars="200"/>
              <w:rPr>
                <w:rFonts w:hint="eastAsia"/>
                <w:lang w:val="en-US" w:eastAsia="zh-CN"/>
              </w:rPr>
            </w:pPr>
            <w:r>
              <w:rPr>
                <w:rFonts w:hint="eastAsia"/>
                <w:lang w:val="en-US" w:eastAsia="zh-CN"/>
              </w:rPr>
              <w:t>查阅资质</w:t>
            </w:r>
          </w:p>
          <w:p>
            <w:pPr>
              <w:pStyle w:val="2"/>
              <w:widowControl w:val="0"/>
              <w:numPr>
                <w:ilvl w:val="0"/>
                <w:numId w:val="0"/>
              </w:numPr>
              <w:autoSpaceDE w:val="0"/>
              <w:autoSpaceDN w:val="0"/>
              <w:spacing w:before="92"/>
              <w:jc w:val="center"/>
              <w:rPr>
                <w:rFonts w:hint="default"/>
                <w:lang w:val="en-US" w:eastAsia="zh-CN"/>
              </w:rPr>
            </w:pPr>
            <w:r>
              <w:drawing>
                <wp:inline distT="0" distB="0" distL="114300" distR="114300">
                  <wp:extent cx="4212590" cy="4635500"/>
                  <wp:effectExtent l="0" t="0" r="1270"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4212590" cy="4635500"/>
                          </a:xfrm>
                          <a:prstGeom prst="rect">
                            <a:avLst/>
                          </a:prstGeom>
                          <a:noFill/>
                          <a:ln>
                            <a:noFill/>
                          </a:ln>
                        </pic:spPr>
                      </pic:pic>
                    </a:graphicData>
                  </a:graphic>
                </wp:inline>
              </w:drawing>
            </w:r>
          </w:p>
          <w:p>
            <w:pPr>
              <w:ind w:firstLine="210" w:firstLineChars="100"/>
              <w:rPr>
                <w:rFonts w:hint="eastAsia"/>
                <w:lang w:val="en-US" w:eastAsia="zh-CN"/>
              </w:rPr>
            </w:pPr>
            <w:r>
              <w:rPr>
                <w:rFonts w:hint="eastAsia"/>
                <w:lang w:val="en-US" w:eastAsia="zh-CN"/>
              </w:rPr>
              <w:t>等等符合要求。</w:t>
            </w:r>
          </w:p>
          <w:p>
            <w:pPr>
              <w:ind w:firstLine="210" w:firstLineChars="100"/>
              <w:rPr>
                <w:rFonts w:hint="eastAsia"/>
                <w:lang w:val="en-US" w:eastAsia="zh-CN"/>
              </w:rPr>
            </w:pPr>
          </w:p>
          <w:p>
            <w:pPr>
              <w:ind w:firstLine="210" w:firstLineChars="100"/>
              <w:rPr>
                <w:rFonts w:hint="default"/>
                <w:lang w:val="en-US" w:eastAsia="zh-CN"/>
              </w:rPr>
            </w:pPr>
            <w:r>
              <w:rPr>
                <w:rFonts w:hint="eastAsia"/>
                <w:lang w:val="en-US" w:eastAsia="zh-CN"/>
              </w:rPr>
              <w:t>抽查原件：1、焊接与热切割作业证  刘成</w:t>
            </w:r>
          </w:p>
          <w:p>
            <w:pPr>
              <w:pStyle w:val="2"/>
              <w:rPr>
                <w:rFonts w:hint="eastAsia"/>
                <w:lang w:val="en-US" w:eastAsia="zh-CN"/>
              </w:rPr>
            </w:pPr>
            <w:r>
              <w:drawing>
                <wp:inline distT="0" distB="0" distL="114300" distR="114300">
                  <wp:extent cx="3444240" cy="2113915"/>
                  <wp:effectExtent l="0" t="0" r="0" b="44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3444240" cy="2113915"/>
                          </a:xfrm>
                          <a:prstGeom prst="rect">
                            <a:avLst/>
                          </a:prstGeom>
                          <a:noFill/>
                          <a:ln>
                            <a:noFill/>
                          </a:ln>
                        </pic:spPr>
                      </pic:pic>
                    </a:graphicData>
                  </a:graphic>
                </wp:inline>
              </w:drawing>
            </w:r>
          </w:p>
          <w:p>
            <w:pPr>
              <w:pStyle w:val="2"/>
              <w:rPr>
                <w:rFonts w:hint="default"/>
                <w:lang w:val="en-US" w:eastAsia="zh-CN"/>
              </w:rPr>
            </w:pPr>
            <w:r>
              <w:rPr>
                <w:rFonts w:hint="eastAsia"/>
                <w:lang w:val="en-US" w:eastAsia="zh-CN"/>
              </w:rPr>
              <w:t>2、低压电工作业证  谢严明</w:t>
            </w:r>
          </w:p>
          <w:p>
            <w:pPr>
              <w:pStyle w:val="2"/>
              <w:rPr>
                <w:rFonts w:hint="default"/>
                <w:lang w:val="en-US" w:eastAsia="zh-CN"/>
              </w:rPr>
            </w:pPr>
            <w:r>
              <w:drawing>
                <wp:inline distT="0" distB="0" distL="114300" distR="114300">
                  <wp:extent cx="3459480" cy="2176780"/>
                  <wp:effectExtent l="0" t="0" r="0"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3459480" cy="2176780"/>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pPr>
          </w:p>
          <w:p>
            <w:pPr>
              <w:pStyle w:val="2"/>
              <w:numPr>
                <w:ilvl w:val="0"/>
                <w:numId w:val="3"/>
              </w:numPr>
              <w:rPr>
                <w:rFonts w:hint="eastAsia"/>
                <w:lang w:val="en-US" w:eastAsia="zh-CN"/>
              </w:rPr>
            </w:pPr>
            <w:r>
              <w:rPr>
                <w:rFonts w:hint="eastAsia"/>
                <w:lang w:val="en-US" w:eastAsia="zh-CN"/>
              </w:rPr>
              <w:t>叉车作业证  姚光辉</w:t>
            </w:r>
          </w:p>
          <w:p>
            <w:pPr>
              <w:pStyle w:val="2"/>
              <w:numPr>
                <w:ilvl w:val="0"/>
                <w:numId w:val="0"/>
              </w:numPr>
              <w:ind w:left="1460" w:leftChars="0"/>
              <w:jc w:val="center"/>
              <w:rPr>
                <w:rFonts w:hint="default"/>
                <w:lang w:val="en-US" w:eastAsia="zh-CN"/>
              </w:rPr>
            </w:pPr>
            <w:r>
              <w:drawing>
                <wp:inline distT="0" distB="0" distL="114300" distR="114300">
                  <wp:extent cx="3260090" cy="2245360"/>
                  <wp:effectExtent l="0" t="0" r="1270"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a:stretch>
                            <a:fillRect/>
                          </a:stretch>
                        </pic:blipFill>
                        <pic:spPr>
                          <a:xfrm>
                            <a:off x="0" y="0"/>
                            <a:ext cx="3260090" cy="2245360"/>
                          </a:xfrm>
                          <a:prstGeom prst="rect">
                            <a:avLst/>
                          </a:prstGeom>
                          <a:noFill/>
                          <a:ln>
                            <a:noFill/>
                          </a:ln>
                        </pic:spPr>
                      </pic:pic>
                    </a:graphicData>
                  </a:graphic>
                </wp:inline>
              </w:drawing>
            </w:r>
          </w:p>
          <w:p>
            <w:pPr>
              <w:pStyle w:val="2"/>
              <w:jc w:val="center"/>
              <w:rPr>
                <w:rFonts w:hint="eastAsia"/>
                <w:lang w:val="en-US" w:eastAsia="zh-CN"/>
              </w:rPr>
            </w:pPr>
            <w:r>
              <w:drawing>
                <wp:inline distT="0" distB="0" distL="114300" distR="114300">
                  <wp:extent cx="3293110" cy="2282190"/>
                  <wp:effectExtent l="0" t="0" r="6350"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3293110" cy="2282190"/>
                          </a:xfrm>
                          <a:prstGeom prst="rect">
                            <a:avLst/>
                          </a:prstGeom>
                          <a:noFill/>
                          <a:ln>
                            <a:noFill/>
                          </a:ln>
                        </pic:spPr>
                      </pic:pic>
                    </a:graphicData>
                  </a:graphic>
                </wp:inline>
              </w:drawing>
            </w:r>
          </w:p>
          <w:p>
            <w:pPr>
              <w:pStyle w:val="6"/>
              <w:rPr>
                <w:rFonts w:hint="eastAsia"/>
                <w:color w:val="000000" w:themeColor="text1"/>
                <w:lang w:val="en-US" w:eastAsia="zh-CN"/>
              </w:rPr>
            </w:pPr>
            <w:r>
              <w:rPr>
                <w:rFonts w:hint="eastAsia"/>
                <w:color w:val="000000" w:themeColor="text1"/>
                <w:lang w:val="en-US" w:eastAsia="zh-CN"/>
              </w:rPr>
              <w:t>有效。</w:t>
            </w:r>
          </w:p>
          <w:p>
            <w:pPr>
              <w:rPr>
                <w:rFonts w:hint="default"/>
                <w:lang w:val="en-US" w:eastAsia="zh-CN"/>
              </w:rPr>
            </w:pPr>
            <w:r>
              <w:rPr>
                <w:rFonts w:hint="eastAsia"/>
                <w:color w:val="0000FF"/>
                <w:lang w:val="en-US" w:eastAsia="zh-CN"/>
              </w:rPr>
              <w:t>经抽查，没有进行能源管理体系标准和内审员的培训。</w:t>
            </w:r>
          </w:p>
        </w:tc>
        <w:tc>
          <w:tcPr>
            <w:tcW w:w="1213" w:type="dxa"/>
          </w:tcPr>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宋体"/>
                <w:lang w:val="en-US" w:eastAsia="zh-CN"/>
              </w:rPr>
            </w:pPr>
            <w:bookmarkStart w:id="0" w:name="_GoBack"/>
            <w:bookmarkEnd w:id="0"/>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2160" w:type="dxa"/>
          </w:tcPr>
          <w:p>
            <w:pPr>
              <w:rPr>
                <w:rFonts w:hint="eastAsia" w:ascii="宋体" w:hAnsi="宋体" w:eastAsia="宋体" w:cs="Times New Roman"/>
                <w:sz w:val="21"/>
                <w:szCs w:val="21"/>
              </w:rPr>
            </w:pPr>
            <w:r>
              <w:rPr>
                <w:rFonts w:hint="eastAsia" w:ascii="宋体" w:hAnsi="宋体" w:cs="Times New Roman"/>
                <w:sz w:val="21"/>
                <w:szCs w:val="21"/>
                <w:lang w:val="en-US" w:eastAsia="zh-CN"/>
              </w:rPr>
              <w:t>3.</w:t>
            </w:r>
            <w:r>
              <w:rPr>
                <w:rFonts w:hint="eastAsia" w:ascii="宋体" w:hAnsi="宋体" w:eastAsia="宋体" w:cs="Times New Roman"/>
                <w:sz w:val="21"/>
                <w:szCs w:val="21"/>
              </w:rPr>
              <w:t>运行的策划和控制、</w:t>
            </w:r>
          </w:p>
        </w:tc>
        <w:tc>
          <w:tcPr>
            <w:tcW w:w="960" w:type="dxa"/>
          </w:tcPr>
          <w:p>
            <w:pPr>
              <w:pStyle w:val="6"/>
              <w:ind w:left="0" w:leftChars="0" w:firstLine="0" w:firstLineChars="0"/>
              <w:rPr>
                <w:rFonts w:hint="eastAsia" w:ascii="宋体" w:hAnsi="宋体" w:cs="Times New Roman"/>
                <w:sz w:val="21"/>
                <w:szCs w:val="21"/>
                <w:lang w:val="en-US" w:eastAsia="zh-CN"/>
              </w:rPr>
            </w:pPr>
            <w:r>
              <w:rPr>
                <w:rFonts w:hint="eastAsia" w:ascii="宋体" w:hAnsi="宋体" w:eastAsia="宋体" w:cs="Times New Roman"/>
                <w:sz w:val="21"/>
                <w:szCs w:val="21"/>
              </w:rPr>
              <w:t>8.1</w:t>
            </w:r>
          </w:p>
        </w:tc>
        <w:tc>
          <w:tcPr>
            <w:tcW w:w="10376" w:type="dxa"/>
          </w:tcPr>
          <w:p>
            <w:pPr>
              <w:ind w:firstLine="420"/>
              <w:rPr>
                <w:rFonts w:hint="eastAsia"/>
                <w:lang w:val="en-US" w:eastAsia="zh-CN"/>
              </w:rPr>
            </w:pPr>
            <w:r>
              <w:rPr>
                <w:rFonts w:hint="eastAsia"/>
              </w:rPr>
              <w:t>策划编制有</w:t>
            </w:r>
            <w:r>
              <w:rPr>
                <w:rFonts w:hint="eastAsia"/>
                <w:lang w:eastAsia="zh-CN"/>
              </w:rPr>
              <w:t>《En/HB-CX-04</w:t>
            </w:r>
            <w:r>
              <w:rPr>
                <w:rFonts w:hint="eastAsia"/>
                <w:lang w:eastAsia="zh-CN"/>
              </w:rPr>
              <w:tab/>
            </w:r>
            <w:r>
              <w:rPr>
                <w:rFonts w:hint="eastAsia"/>
                <w:lang w:eastAsia="zh-CN"/>
              </w:rPr>
              <w:t>能力、意识和培训控制程序》《En/HB-CX-03</w:t>
            </w:r>
            <w:r>
              <w:rPr>
                <w:rFonts w:hint="eastAsia"/>
                <w:lang w:eastAsia="zh-CN"/>
              </w:rPr>
              <w:tab/>
            </w:r>
            <w:r>
              <w:rPr>
                <w:rFonts w:hint="eastAsia"/>
                <w:lang w:eastAsia="zh-CN"/>
              </w:rPr>
              <w:t>信息沟通程序》</w:t>
            </w:r>
            <w:r>
              <w:rPr>
                <w:rFonts w:hint="eastAsia"/>
                <w:lang w:val="en-US" w:eastAsia="zh-CN"/>
              </w:rPr>
              <w:t>《En/HB-CX-01文件控制程序</w:t>
            </w:r>
            <w:r>
              <w:rPr>
                <w:rFonts w:hint="eastAsia"/>
                <w:lang w:eastAsia="zh-CN"/>
              </w:rPr>
              <w:t>》；人力资源管理程序、公司员工培训管理办法、制度标准格式、印章使用管理制度、办公用品管理制度、车辆管理制度、小额工程项目管理规定、物资出门证管理制度、师带徒管理办法、厂区非机动车辆管理规定、考勤管理规定、年休假实施细则等，有发布，实施。有编审批。确保了其适宜性和充分性。</w:t>
            </w:r>
            <w:r>
              <w:rPr>
                <w:rFonts w:hint="eastAsia"/>
                <w:lang w:val="en-US" w:eastAsia="zh-CN"/>
              </w:rPr>
              <w:t>并且在《能源手册》7.2、7.3、7.4条款中</w:t>
            </w:r>
            <w:r>
              <w:rPr>
                <w:rFonts w:hint="eastAsia"/>
              </w:rPr>
              <w:t>内容规定了人力资源部应组织确定与能源绩效和能源管理体系具有影响的人员必备的基本能力要求。</w:t>
            </w:r>
            <w:r>
              <w:rPr>
                <w:rFonts w:hint="eastAsia"/>
                <w:lang w:val="en-US" w:eastAsia="zh-CN"/>
              </w:rPr>
              <w:t>。</w:t>
            </w:r>
          </w:p>
          <w:p>
            <w:pPr>
              <w:pStyle w:val="6"/>
              <w:rPr>
                <w:rFonts w:hint="eastAsia"/>
                <w:lang w:val="en-US" w:eastAsia="zh-CN"/>
              </w:rPr>
            </w:pPr>
            <w:r>
              <w:rPr>
                <w:rFonts w:hint="eastAsia"/>
                <w:lang w:val="en-US" w:eastAsia="zh-CN"/>
              </w:rPr>
              <w:t>综合部对公司分管的职责进行每月的绩效考核。包括以下方面的工作：负责人员资质的有效性实施监管，</w:t>
            </w:r>
          </w:p>
          <w:p>
            <w:pPr>
              <w:pStyle w:val="6"/>
              <w:ind w:left="0" w:leftChars="0" w:firstLine="0" w:firstLineChars="0"/>
              <w:rPr>
                <w:rFonts w:hint="default"/>
                <w:lang w:val="en-US" w:eastAsia="zh-CN"/>
              </w:rPr>
            </w:pPr>
            <w:r>
              <w:rPr>
                <w:rFonts w:hint="eastAsia"/>
                <w:lang w:val="en-US" w:eastAsia="zh-CN"/>
              </w:rPr>
              <w:t>负责组织公司职工教育培训工作，并对培训效果进行考核。严把招工关，新招录人员符合从业条件。加强劳动纪律管理，严格考核，保证正常的安全生产秩序。负责薪酬管理工作，职工上岗、评奖、晋升、薪酬分配与安全生产挂钩考核。</w:t>
            </w:r>
          </w:p>
        </w:tc>
        <w:tc>
          <w:tcPr>
            <w:tcW w:w="1213"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2160" w:type="dxa"/>
          </w:tcPr>
          <w:p>
            <w:pPr>
              <w:rPr>
                <w:rFonts w:hint="eastAsia" w:ascii="宋体" w:hAnsi="宋体" w:eastAsia="宋体" w:cs="Times New Roman"/>
                <w:sz w:val="21"/>
                <w:szCs w:val="21"/>
              </w:rPr>
            </w:pPr>
            <w:r>
              <w:rPr>
                <w:rFonts w:hint="eastAsia" w:ascii="宋体" w:hAnsi="宋体" w:cs="Times New Roman"/>
                <w:sz w:val="21"/>
                <w:szCs w:val="21"/>
                <w:lang w:val="en-US" w:eastAsia="zh-CN"/>
              </w:rPr>
              <w:t>4.</w:t>
            </w:r>
            <w:r>
              <w:rPr>
                <w:rFonts w:hint="eastAsia" w:ascii="宋体" w:hAnsi="宋体" w:eastAsia="宋体" w:cs="Times New Roman"/>
                <w:sz w:val="21"/>
                <w:szCs w:val="21"/>
              </w:rPr>
              <w:t>不符合与纠正措施</w:t>
            </w:r>
          </w:p>
        </w:tc>
        <w:tc>
          <w:tcPr>
            <w:tcW w:w="960" w:type="dxa"/>
          </w:tcPr>
          <w:p>
            <w:pPr>
              <w:pStyle w:val="6"/>
              <w:ind w:left="0" w:leftChars="0" w:firstLine="0" w:firstLineChars="0"/>
              <w:rPr>
                <w:rFonts w:hint="eastAsia" w:ascii="宋体" w:hAnsi="宋体" w:cs="Times New Roman"/>
                <w:sz w:val="21"/>
                <w:szCs w:val="21"/>
                <w:lang w:val="en-US" w:eastAsia="zh-CN"/>
              </w:rPr>
            </w:pPr>
            <w:r>
              <w:rPr>
                <w:rFonts w:hint="eastAsia" w:ascii="宋体" w:hAnsi="宋体" w:eastAsia="宋体" w:cs="Times New Roman"/>
                <w:sz w:val="21"/>
                <w:szCs w:val="21"/>
              </w:rPr>
              <w:t>10.1</w:t>
            </w:r>
          </w:p>
        </w:tc>
        <w:tc>
          <w:tcPr>
            <w:tcW w:w="10376" w:type="dxa"/>
          </w:tcPr>
          <w:p>
            <w:pPr>
              <w:ind w:firstLine="420" w:firstLineChars="200"/>
              <w:rPr>
                <w:rFonts w:hint="eastAsia"/>
                <w:lang w:val="en-US" w:eastAsia="zh-CN"/>
              </w:rPr>
            </w:pPr>
            <w:r>
              <w:rPr>
                <w:rFonts w:hint="eastAsia"/>
                <w:lang w:val="en-US" w:eastAsia="zh-CN"/>
              </w:rPr>
              <w:t>提供《En/HB-CX-08能源监视和测量控制程序》《En/HB-CX-11不符合、纠正、改进措施程序》公司规定了为了及时纠正在能源管理体系运行中发现的不符合，采取有效的纠正措施与预防措施，减少对生产经营活动的影响，避免不符合的再次发生。</w:t>
            </w:r>
          </w:p>
          <w:p>
            <w:pPr>
              <w:ind w:firstLine="420" w:firstLineChars="200"/>
              <w:rPr>
                <w:rFonts w:hint="default"/>
                <w:lang w:val="en-US" w:eastAsia="zh-CN"/>
              </w:rPr>
            </w:pPr>
            <w:r>
              <w:rPr>
                <w:rFonts w:hint="eastAsia"/>
                <w:lang w:val="en-US" w:eastAsia="zh-CN"/>
              </w:rPr>
              <w:t>本部门对1、公司职工教育培训工作，并对培训效果进行考核。2、严把招工关，新招录人员符合从业条件。3、加强劳动纪律管理，严格考核，保证正常的安全生产秩序。4、负责薪酬管理工作，职工上岗、评奖、晋升、薪酬分配与安全生产挂钩考核。5、负责人员资质的有效性实施监管。至今每月进行监管与检查没有发生不符合。</w:t>
            </w:r>
          </w:p>
        </w:tc>
        <w:tc>
          <w:tcPr>
            <w:tcW w:w="1213" w:type="dxa"/>
          </w:tcPr>
          <w:p>
            <w:pPr>
              <w:rPr>
                <w:rFonts w:hint="eastAsia" w:eastAsia="宋体"/>
                <w:lang w:val="en-US" w:eastAsia="zh-CN"/>
              </w:rPr>
            </w:pPr>
            <w:r>
              <w:rPr>
                <w:rFonts w:hint="eastAsia"/>
                <w:lang w:val="en-US" w:eastAsia="zh-CN"/>
              </w:rPr>
              <w:t>y</w:t>
            </w:r>
          </w:p>
        </w:tc>
      </w:tr>
    </w:tbl>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-36195</wp:posOffset>
          </wp:positionV>
          <wp:extent cx="389890" cy="366395"/>
          <wp:effectExtent l="0" t="0" r="6350" b="6985"/>
          <wp:wrapTight wrapText="bothSides">
            <wp:wrapPolygon>
              <wp:start x="5910" y="0"/>
              <wp:lineTo x="0" y="3145"/>
              <wp:lineTo x="0" y="16621"/>
              <wp:lineTo x="6332" y="21113"/>
              <wp:lineTo x="9287" y="21113"/>
              <wp:lineTo x="14353" y="21113"/>
              <wp:lineTo x="14775" y="21113"/>
              <wp:lineTo x="20685" y="14375"/>
              <wp:lineTo x="20685" y="5840"/>
              <wp:lineTo x="17308" y="1797"/>
              <wp:lineTo x="14353" y="0"/>
              <wp:lineTo x="5910"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389890" cy="366395"/>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5"/>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v:textbox>
        </v:shape>
      </w:pict>
    </w:r>
    <w:r>
      <w:rPr>
        <w:rStyle w:val="14"/>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9D7B7"/>
    <w:multiLevelType w:val="singleLevel"/>
    <w:tmpl w:val="9C69D7B7"/>
    <w:lvl w:ilvl="0" w:tentative="0">
      <w:start w:val="2"/>
      <w:numFmt w:val="chineseCounting"/>
      <w:suff w:val="nothing"/>
      <w:lvlText w:val="%1、"/>
      <w:lvlJc w:val="left"/>
      <w:rPr>
        <w:rFonts w:hint="eastAsia"/>
      </w:rPr>
    </w:lvl>
  </w:abstractNum>
  <w:abstractNum w:abstractNumId="1">
    <w:nsid w:val="FC0A0383"/>
    <w:multiLevelType w:val="singleLevel"/>
    <w:tmpl w:val="FC0A0383"/>
    <w:lvl w:ilvl="0" w:tentative="0">
      <w:start w:val="1"/>
      <w:numFmt w:val="chineseCounting"/>
      <w:suff w:val="nothing"/>
      <w:lvlText w:val="%1、"/>
      <w:lvlJc w:val="left"/>
      <w:rPr>
        <w:rFonts w:hint="eastAsia"/>
      </w:rPr>
    </w:lvl>
  </w:abstractNum>
  <w:abstractNum w:abstractNumId="2">
    <w:nsid w:val="75602503"/>
    <w:multiLevelType w:val="singleLevel"/>
    <w:tmpl w:val="75602503"/>
    <w:lvl w:ilvl="0" w:tentative="0">
      <w:start w:val="3"/>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49241BE"/>
    <w:rsid w:val="06733461"/>
    <w:rsid w:val="108219C2"/>
    <w:rsid w:val="11171A8E"/>
    <w:rsid w:val="14D728B8"/>
    <w:rsid w:val="17E52C11"/>
    <w:rsid w:val="19B04686"/>
    <w:rsid w:val="1A501F08"/>
    <w:rsid w:val="1CB922AB"/>
    <w:rsid w:val="254030D9"/>
    <w:rsid w:val="25781ADD"/>
    <w:rsid w:val="26A001C3"/>
    <w:rsid w:val="2C6C02D0"/>
    <w:rsid w:val="2CCF586C"/>
    <w:rsid w:val="2E4F51E2"/>
    <w:rsid w:val="33392002"/>
    <w:rsid w:val="33E561F4"/>
    <w:rsid w:val="36121C7F"/>
    <w:rsid w:val="36A71067"/>
    <w:rsid w:val="3C0C3095"/>
    <w:rsid w:val="3D352366"/>
    <w:rsid w:val="3F9D652A"/>
    <w:rsid w:val="414D2B24"/>
    <w:rsid w:val="41EB158B"/>
    <w:rsid w:val="423D7A69"/>
    <w:rsid w:val="425323FF"/>
    <w:rsid w:val="47936EDF"/>
    <w:rsid w:val="4A254C8A"/>
    <w:rsid w:val="4B9F31AA"/>
    <w:rsid w:val="4D1620DD"/>
    <w:rsid w:val="4FC45709"/>
    <w:rsid w:val="4FD67B9F"/>
    <w:rsid w:val="51FB57D8"/>
    <w:rsid w:val="53946D67"/>
    <w:rsid w:val="54A654E1"/>
    <w:rsid w:val="555D7216"/>
    <w:rsid w:val="56D65953"/>
    <w:rsid w:val="582678C7"/>
    <w:rsid w:val="588277BB"/>
    <w:rsid w:val="5BFD0207"/>
    <w:rsid w:val="5EA12B9A"/>
    <w:rsid w:val="5F2773C0"/>
    <w:rsid w:val="5F451B53"/>
    <w:rsid w:val="63540074"/>
    <w:rsid w:val="6885369D"/>
    <w:rsid w:val="70A5719C"/>
    <w:rsid w:val="713E550B"/>
    <w:rsid w:val="7AB130BB"/>
    <w:rsid w:val="7C8C46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autoSpaceDE w:val="0"/>
      <w:autoSpaceDN w:val="0"/>
      <w:spacing w:before="92"/>
      <w:ind w:left="980" w:firstLine="480"/>
      <w:jc w:val="left"/>
    </w:pPr>
    <w:rPr>
      <w:rFonts w:ascii="宋体" w:hAnsi="宋体" w:cs="宋体"/>
      <w:kern w:val="0"/>
      <w:sz w:val="24"/>
      <w:szCs w:val="24"/>
      <w:lang w:val="zh-CN" w:bidi="zh-CN"/>
    </w:r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paragraph" w:styleId="6">
    <w:name w:val="table of figures"/>
    <w:basedOn w:val="1"/>
    <w:next w:val="1"/>
    <w:qFormat/>
    <w:uiPriority w:val="0"/>
    <w:pPr>
      <w:ind w:left="200" w:leftChars="200" w:hanging="200" w:hangingChars="200"/>
    </w:pPr>
  </w:style>
  <w:style w:type="paragraph" w:styleId="7">
    <w:name w:val="Body Text First Indent"/>
    <w:basedOn w:val="2"/>
    <w:semiHidden/>
    <w:unhideWhenUsed/>
    <w:qFormat/>
    <w:uiPriority w:val="99"/>
    <w:pPr>
      <w:autoSpaceDE/>
      <w:autoSpaceDN/>
      <w:spacing w:before="0" w:after="120"/>
      <w:ind w:left="0" w:firstLine="420" w:firstLineChars="100"/>
      <w:jc w:val="both"/>
    </w:pPr>
    <w:rPr>
      <w:rFonts w:ascii="Times New Roman" w:hAnsi="Times New Roman" w:cs="Times New Roman"/>
      <w:kern w:val="2"/>
      <w:sz w:val="21"/>
      <w:szCs w:val="20"/>
      <w:lang w:val="en-US" w:bidi="ar-SA"/>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5"/>
    <w:qFormat/>
    <w:uiPriority w:val="99"/>
    <w:rPr>
      <w:rFonts w:ascii="Times New Roman" w:hAnsi="Times New Roman" w:eastAsia="宋体" w:cs="Times New Roman"/>
      <w:sz w:val="18"/>
      <w:szCs w:val="18"/>
    </w:rPr>
  </w:style>
  <w:style w:type="character" w:customStyle="1" w:styleId="12">
    <w:name w:val="页脚 字符"/>
    <w:basedOn w:val="10"/>
    <w:link w:val="4"/>
    <w:qFormat/>
    <w:uiPriority w:val="99"/>
    <w:rPr>
      <w:rFonts w:ascii="Times New Roman" w:hAnsi="Times New Roman" w:eastAsia="宋体" w:cs="Times New Roman"/>
      <w:sz w:val="18"/>
      <w:szCs w:val="18"/>
    </w:rPr>
  </w:style>
  <w:style w:type="character" w:customStyle="1" w:styleId="13">
    <w:name w:val="批注框文本 字符"/>
    <w:basedOn w:val="10"/>
    <w:link w:val="3"/>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font01"/>
    <w:basedOn w:val="10"/>
    <w:qFormat/>
    <w:uiPriority w:val="0"/>
    <w:rPr>
      <w:rFonts w:hint="eastAsia" w:ascii="宋体" w:hAnsi="宋体" w:eastAsia="宋体" w:cs="宋体"/>
      <w:color w:val="000000"/>
      <w:sz w:val="20"/>
      <w:szCs w:val="20"/>
      <w:u w:val="none"/>
    </w:rPr>
  </w:style>
  <w:style w:type="paragraph" w:styleId="16">
    <w:name w:val="List Paragraph"/>
    <w:basedOn w:val="1"/>
    <w:qFormat/>
    <w:uiPriority w:val="1"/>
    <w:pPr>
      <w:autoSpaceDE w:val="0"/>
      <w:autoSpaceDN w:val="0"/>
      <w:spacing w:before="92"/>
      <w:ind w:left="980" w:hanging="601"/>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TotalTime>
  <ScaleCrop>false</ScaleCrop>
  <LinksUpToDate>false</LinksUpToDate>
  <CharactersWithSpaces>147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2021-09-09T06:30:59Z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4873E6CC8DAD46228AF9E8B9D17D0E24</vt:lpwstr>
  </property>
</Properties>
</file>