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705"/>
        <w:gridCol w:w="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705" w:type="dxa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板材及制品部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梁健        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黄超</w:t>
            </w:r>
          </w:p>
        </w:tc>
        <w:tc>
          <w:tcPr>
            <w:tcW w:w="884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705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周涛、  </w:t>
            </w:r>
            <w:r>
              <w:rPr>
                <w:sz w:val="24"/>
                <w:szCs w:val="24"/>
              </w:rPr>
              <w:t xml:space="preserve">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2021.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9.7</w:t>
            </w:r>
          </w:p>
        </w:tc>
        <w:tc>
          <w:tcPr>
            <w:tcW w:w="88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705" w:type="dxa"/>
            <w:vAlign w:val="center"/>
          </w:tcPr>
          <w:p>
            <w:pPr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 w:ascii="宋体" w:hAnsi="宋体"/>
                <w:szCs w:val="21"/>
              </w:rPr>
              <w:t xml:space="preserve">5.3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 xml:space="preserve">6.2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6.3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6.4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</w:rPr>
              <w:t>6.6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/7.4/</w:t>
            </w:r>
            <w:r>
              <w:rPr>
                <w:rFonts w:hint="eastAsia" w:ascii="宋体" w:hAnsi="宋体"/>
                <w:szCs w:val="21"/>
              </w:rPr>
              <w:t>8.1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/10.1/10.2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</w:p>
        </w:tc>
        <w:tc>
          <w:tcPr>
            <w:tcW w:w="88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组织的岗位、</w:t>
            </w:r>
            <w:r>
              <w:rPr>
                <w:rFonts w:hint="eastAsia"/>
                <w:lang w:val="en-US" w:eastAsia="zh-CN"/>
              </w:rPr>
              <w:t>职责权限</w:t>
            </w:r>
          </w:p>
        </w:tc>
        <w:tc>
          <w:tcPr>
            <w:tcW w:w="9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En5.3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梁经理</w:t>
            </w:r>
            <w:r>
              <w:rPr>
                <w:rFonts w:hint="eastAsia"/>
                <w:lang w:val="en-US" w:eastAsia="zh-CN"/>
              </w:rPr>
              <w:t>介绍：</w:t>
            </w:r>
          </w:p>
          <w:p>
            <w:pPr>
              <w:spacing w:line="360" w:lineRule="exact"/>
              <w:rPr>
                <w:rFonts w:hint="eastAsia" w:ascii="宋体" w:hAnsi="宋体" w:eastAsia="宋体"/>
                <w:color w:val="auto"/>
              </w:rPr>
            </w:pPr>
            <w:r>
              <w:rPr>
                <w:rFonts w:hint="eastAsia" w:ascii="宋体" w:hAnsi="宋体" w:eastAsia="宋体"/>
                <w:color w:val="FF0000"/>
              </w:rPr>
              <w:t xml:space="preserve">  </w:t>
            </w:r>
            <w:r>
              <w:rPr>
                <w:rFonts w:hint="eastAsia" w:ascii="宋体" w:hAnsi="宋体" w:eastAsia="宋体"/>
                <w:color w:val="auto"/>
              </w:rPr>
              <w:t>1）根据月度生产计划和销售订单制定生产作业计划或指令，</w:t>
            </w:r>
            <w:r>
              <w:rPr>
                <w:rFonts w:hint="eastAsia" w:ascii="宋体" w:hAnsi="宋体" w:eastAsia="宋体"/>
                <w:color w:val="auto"/>
                <w:szCs w:val="22"/>
              </w:rPr>
              <w:t>合理安排生产作业时间并及时组织实施。密切配合市场部，确保订单的按期履行</w:t>
            </w:r>
            <w:r>
              <w:rPr>
                <w:rFonts w:hint="eastAsia" w:ascii="宋体" w:hAnsi="宋体" w:eastAsia="宋体"/>
                <w:color w:val="auto"/>
              </w:rPr>
              <w:t>；同时对生产任务的完成情况实施动态管理；</w:t>
            </w:r>
          </w:p>
          <w:p>
            <w:pPr>
              <w:spacing w:line="360" w:lineRule="exact"/>
              <w:rPr>
                <w:rFonts w:hint="eastAsia" w:ascii="宋体" w:hAnsi="宋体" w:eastAsia="宋体"/>
                <w:color w:val="auto"/>
              </w:rPr>
            </w:pPr>
            <w:r>
              <w:rPr>
                <w:rFonts w:hint="eastAsia" w:ascii="宋体" w:hAnsi="宋体" w:eastAsia="宋体"/>
                <w:color w:val="auto"/>
              </w:rPr>
              <w:t xml:space="preserve">   2）根据订单任务，提出主材、辅材等相关物资采购计划；并对采购物资按期保证生产的情况实施监控；</w:t>
            </w:r>
          </w:p>
          <w:p>
            <w:pPr>
              <w:spacing w:line="360" w:lineRule="exact"/>
              <w:rPr>
                <w:rFonts w:hint="eastAsia" w:ascii="宋体" w:hAnsi="宋体" w:eastAsia="宋体"/>
                <w:color w:val="auto"/>
              </w:rPr>
            </w:pPr>
            <w:r>
              <w:rPr>
                <w:rFonts w:hint="eastAsia" w:ascii="宋体" w:hAnsi="宋体" w:eastAsia="宋体"/>
                <w:color w:val="auto"/>
              </w:rPr>
              <w:t xml:space="preserve">   3）根据作业计划合理安排生产班次、调配生产人员；</w:t>
            </w:r>
          </w:p>
          <w:p>
            <w:pPr>
              <w:spacing w:line="360" w:lineRule="exact"/>
              <w:rPr>
                <w:rFonts w:hint="eastAsia" w:ascii="宋体" w:hAnsi="宋体" w:eastAsia="宋体"/>
                <w:color w:val="auto"/>
              </w:rPr>
            </w:pPr>
            <w:r>
              <w:rPr>
                <w:rFonts w:hint="eastAsia" w:ascii="宋体" w:hAnsi="宋体" w:eastAsia="宋体"/>
                <w:color w:val="auto"/>
              </w:rPr>
              <w:t xml:space="preserve">   4）根据生产作业计划做好各项生产准备工作及生产所需资源的监控、调配和协调；</w:t>
            </w:r>
          </w:p>
          <w:p>
            <w:pPr>
              <w:spacing w:line="360" w:lineRule="exact"/>
              <w:rPr>
                <w:rFonts w:hint="eastAsia" w:ascii="宋体" w:hAnsi="宋体" w:eastAsia="宋体"/>
                <w:color w:val="auto"/>
              </w:rPr>
            </w:pPr>
            <w:r>
              <w:rPr>
                <w:rFonts w:hint="eastAsia" w:ascii="宋体" w:hAnsi="宋体" w:eastAsia="宋体"/>
                <w:color w:val="auto"/>
              </w:rPr>
              <w:t xml:space="preserve">   5）检查各生产环节执行情况，及时发现问题、解决问题，确保生产过程的连续性、均衡性；</w:t>
            </w:r>
          </w:p>
          <w:p>
            <w:pPr>
              <w:spacing w:line="360" w:lineRule="exact"/>
              <w:rPr>
                <w:rFonts w:hint="eastAsia" w:ascii="宋体" w:hAnsi="宋体" w:eastAsia="宋体"/>
                <w:color w:val="auto"/>
              </w:rPr>
            </w:pPr>
            <w:r>
              <w:rPr>
                <w:rFonts w:hint="eastAsia" w:ascii="宋体" w:hAnsi="宋体" w:eastAsia="宋体"/>
                <w:color w:val="auto"/>
              </w:rPr>
              <w:t xml:space="preserve">   6）建立健全生产统计的制度和方法、工作程序与报表，对生产过程相关的数据进行统计、分析、汇报；</w:t>
            </w:r>
          </w:p>
          <w:p>
            <w:pPr>
              <w:spacing w:line="360" w:lineRule="exact"/>
              <w:rPr>
                <w:rFonts w:hint="eastAsia" w:ascii="宋体" w:hAnsi="宋体" w:eastAsia="宋体"/>
                <w:color w:val="auto"/>
              </w:rPr>
            </w:pPr>
            <w:r>
              <w:rPr>
                <w:rFonts w:hint="eastAsia" w:ascii="宋体" w:hAnsi="宋体" w:eastAsia="宋体"/>
                <w:color w:val="auto"/>
              </w:rPr>
              <w:t xml:space="preserve">   7）对生产现场安全生产、文明生产、5S、环境治理、节能降耗的情况进行监控、反馈。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经理对职责基本明确清晰。</w:t>
            </w:r>
          </w:p>
        </w:tc>
        <w:tc>
          <w:tcPr>
            <w:tcW w:w="884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能源目标\</w:t>
            </w:r>
            <w:r>
              <w:rPr>
                <w:rFonts w:hint="eastAsia" w:ascii="宋体" w:hAnsi="宋体"/>
                <w:szCs w:val="21"/>
              </w:rPr>
              <w:t>能源指及其实现的策划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En6.2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公司2020的能耗指标：单位产品能耗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  <w:r>
              <w:rPr>
                <w:rFonts w:hint="eastAsia"/>
                <w:lang w:val="en-US" w:eastAsia="zh-CN"/>
              </w:rPr>
              <w:t>。</w:t>
            </w:r>
          </w:p>
          <w:p>
            <w:pPr>
              <w:pStyle w:val="2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-12月份综合能耗为：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1193560.8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kgce</w:t>
            </w:r>
          </w:p>
          <w:p>
            <w:pPr>
              <w:pStyle w:val="2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2020年1-12月份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钼钨总产量为857283.769kg</w:t>
            </w:r>
          </w:p>
          <w:p>
            <w:pPr>
              <w:pStyle w:val="2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2020年单位产品能耗为1.39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</w:p>
          <w:p>
            <w:pPr>
              <w:pStyle w:val="2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pStyle w:val="2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以2020年的实际单耗为2021年的能源目标，即2021年的能源目标为：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</w:p>
          <w:p>
            <w:pPr>
              <w:pStyle w:val="2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2021年1-8月份综合能耗为：907874.13kgce</w:t>
            </w:r>
          </w:p>
          <w:p>
            <w:pPr>
              <w:pStyle w:val="2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2021年1-8月份的钼钨产量为：531931.53kg</w:t>
            </w:r>
          </w:p>
          <w:p>
            <w:pPr>
              <w:pStyle w:val="2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2021年1-8月份单位产品能耗为1.71kgce/kg。</w:t>
            </w:r>
          </w:p>
          <w:p>
            <w:pPr>
              <w:pStyle w:val="2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FF"/>
                <w:kern w:val="0"/>
                <w:sz w:val="22"/>
                <w:szCs w:val="22"/>
                <w:u w:val="none"/>
                <w:lang w:val="en-US" w:eastAsia="zh-CN" w:bidi="ar"/>
              </w:rPr>
              <w:t>有上述指标来看，2021年1-8月份，单位产品能耗已经高于目标值，需要进行原因</w:t>
            </w:r>
            <w:bookmarkStart w:id="0" w:name="_GoBack"/>
            <w:bookmarkEnd w:id="0"/>
            <w:r>
              <w:rPr>
                <w:rFonts w:hint="eastAsia" w:ascii="宋体" w:hAnsi="宋体" w:cs="宋体"/>
                <w:i w:val="0"/>
                <w:iCs w:val="0"/>
                <w:color w:val="0000FF"/>
                <w:kern w:val="0"/>
                <w:sz w:val="22"/>
                <w:szCs w:val="22"/>
                <w:u w:val="none"/>
                <w:lang w:val="en-US" w:eastAsia="zh-CN" w:bidi="ar"/>
              </w:rPr>
              <w:t>分析，并制定节能措施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。</w:t>
            </w:r>
          </w:p>
        </w:tc>
        <w:tc>
          <w:tcPr>
            <w:tcW w:w="884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能源评审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En6.3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提供：“成都联虹钼业有限公司能源评审报告”2021年8月10；内容包括：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能源评审基础信息（目的和范围和边界、评审期、公司能源使用基本情况、淘汰能耗落后工艺、设备概况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等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）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;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公司管理体系覆盖范围包括：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水泵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生产和销售所涉及的能源管理的能源购入、能源转换、能源分配传输和能源使用活动。</w:t>
            </w:r>
          </w:p>
          <w:p>
            <w:pPr>
              <w:adjustRightInd w:val="0"/>
              <w:snapToGrid w:val="0"/>
              <w:spacing w:line="400" w:lineRule="exact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评审期：2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年1月1日～20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年12月31日。</w:t>
            </w:r>
          </w:p>
          <w:p>
            <w:pPr>
              <w:adjustRightInd w:val="0"/>
              <w:snapToGrid w:val="0"/>
              <w:spacing w:line="400" w:lineRule="exact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基准期：2019年1月1日～2019年</w:t>
            </w:r>
            <w:r>
              <w:rPr>
                <w:rFonts w:ascii="宋体" w:hAnsi="宋体"/>
                <w:szCs w:val="21"/>
              </w:rPr>
              <w:t>12</w:t>
            </w:r>
            <w:r>
              <w:rPr>
                <w:rFonts w:hint="eastAsia" w:ascii="宋体" w:hAnsi="宋体"/>
                <w:szCs w:val="21"/>
              </w:rPr>
              <w:t>月31日生产</w:t>
            </w:r>
            <w:r>
              <w:rPr>
                <w:rFonts w:ascii="宋体" w:hAnsi="宋体"/>
                <w:szCs w:val="21"/>
              </w:rPr>
              <w:t>周期内平均值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能源管理状况评审（能源方针目标、能源管理组织及职责、能源管理制度、能源管理、能源计量、能源统计管理、能源定额管理、近三年生产和节能技改项目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等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）</w:t>
            </w: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能源利用状况评审（能源消耗结构分析、用能设备能耗分析等）；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节能潜力分析和能源绩效优先改进机会识别（管理改进方法、项目改进方法）；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未来能源的消耗分析；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能源评审输出（能源绩效参数、能源基准和能源目标指标、影响主要能源使用的相关变量和参数控制）；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结论和建议（总体评价、建议）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2"/>
                <w:sz w:val="21"/>
                <w:szCs w:val="22"/>
                <w:lang w:val="en-US" w:eastAsia="zh-CN" w:bidi="ar-SA"/>
              </w:rPr>
              <w:t>以上内容基本满足标准要求。</w:t>
            </w:r>
          </w:p>
        </w:tc>
        <w:tc>
          <w:tcPr>
            <w:tcW w:w="884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能源绩效参数、能源基准的确定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En6.4/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6.5</w:t>
            </w:r>
          </w:p>
        </w:tc>
        <w:tc>
          <w:tcPr>
            <w:tcW w:w="10705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该企业根据2019年的生产经营情况进行分析，确定2020年的单位产品能耗为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kgce/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kg</w:t>
            </w:r>
            <w:r>
              <w:rPr>
                <w:rFonts w:hint="eastAsia"/>
                <w:lang w:val="en-US" w:eastAsia="zh-CN"/>
              </w:rPr>
              <w:t xml:space="preserve">。 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企业制定的能源绩效参数为：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综合能耗、和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综合能耗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（</w:t>
            </w:r>
            <w:r>
              <w:rPr>
                <w:rFonts w:hint="eastAsia"/>
                <w:lang w:val="en-US" w:eastAsia="zh-CN"/>
              </w:rPr>
              <w:t>kgce/kg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）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能源基准以上年度实际发生值为基准。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根据能源评审报告分析：202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0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年</w:t>
            </w: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成都联虹钼业有限公司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的能源绩效参数和能源基准确定如下;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18"/>
              <w:gridCol w:w="989"/>
              <w:gridCol w:w="2067"/>
              <w:gridCol w:w="1170"/>
              <w:gridCol w:w="1940"/>
              <w:gridCol w:w="1160"/>
              <w:gridCol w:w="1436"/>
              <w:gridCol w:w="75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7" w:hRule="atLeast"/>
              </w:trPr>
              <w:tc>
                <w:tcPr>
                  <w:tcW w:w="818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序号</w:t>
                  </w:r>
                </w:p>
              </w:tc>
              <w:tc>
                <w:tcPr>
                  <w:tcW w:w="989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级别</w:t>
                  </w:r>
                </w:p>
              </w:tc>
              <w:tc>
                <w:tcPr>
                  <w:tcW w:w="2067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能源绩效参数</w:t>
                  </w:r>
                </w:p>
              </w:tc>
              <w:tc>
                <w:tcPr>
                  <w:tcW w:w="1170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单位</w:t>
                  </w:r>
                </w:p>
              </w:tc>
              <w:tc>
                <w:tcPr>
                  <w:tcW w:w="194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能源基准</w:t>
                  </w:r>
                </w:p>
                <w:p>
                  <w:pPr>
                    <w:pStyle w:val="2"/>
                    <w:ind w:left="0" w:leftChars="0" w:firstLine="0" w:firstLineChars="0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（2019年）</w:t>
                  </w:r>
                </w:p>
              </w:tc>
              <w:tc>
                <w:tcPr>
                  <w:tcW w:w="1160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能源目标</w:t>
                  </w:r>
                </w:p>
                <w:p>
                  <w:pPr>
                    <w:pStyle w:val="2"/>
                    <w:ind w:left="0" w:leftChars="0" w:firstLine="0" w:firstLineChars="0"/>
                    <w:jc w:val="center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436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完成时间</w:t>
                  </w:r>
                </w:p>
                <w:p>
                  <w:pPr>
                    <w:pStyle w:val="2"/>
                    <w:ind w:left="0" w:leftChars="0" w:firstLine="0" w:firstLineChars="0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(2020)</w:t>
                  </w:r>
                </w:p>
              </w:tc>
              <w:tc>
                <w:tcPr>
                  <w:tcW w:w="756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7" w:hRule="atLeast"/>
              </w:trPr>
              <w:tc>
                <w:tcPr>
                  <w:tcW w:w="818" w:type="dxa"/>
                  <w:vMerge w:val="restart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1</w:t>
                  </w:r>
                </w:p>
              </w:tc>
              <w:tc>
                <w:tcPr>
                  <w:tcW w:w="989" w:type="dxa"/>
                  <w:vMerge w:val="restart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公司级</w:t>
                  </w:r>
                </w:p>
              </w:tc>
              <w:tc>
                <w:tcPr>
                  <w:tcW w:w="2067" w:type="dxa"/>
                  <w:vAlign w:val="center"/>
                </w:tcPr>
                <w:p>
                  <w:pPr>
                    <w:pStyle w:val="2"/>
                    <w:jc w:val="center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总能耗</w:t>
                  </w:r>
                </w:p>
              </w:tc>
              <w:tc>
                <w:tcPr>
                  <w:tcW w:w="1170" w:type="dxa"/>
                  <w:vAlign w:val="center"/>
                </w:tcPr>
                <w:p>
                  <w:pPr>
                    <w:pStyle w:val="2"/>
                    <w:jc w:val="both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Kgce</w:t>
                  </w:r>
                </w:p>
              </w:tc>
              <w:tc>
                <w:tcPr>
                  <w:tcW w:w="1940" w:type="dxa"/>
                  <w:vAlign w:val="center"/>
                </w:tcPr>
                <w:p>
                  <w:pPr>
                    <w:pStyle w:val="2"/>
                    <w:ind w:left="0" w:leftChars="0" w:firstLine="0" w:firstLineChars="0"/>
                    <w:jc w:val="both"/>
                    <w:rPr>
                      <w:rFonts w:hint="default" w:ascii="宋体" w:hAnsi="宋体" w:eastAsia="宋体" w:cs="Times New Roman"/>
                      <w:color w:val="auto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583662.43</w:t>
                  </w:r>
                </w:p>
              </w:tc>
              <w:tc>
                <w:tcPr>
                  <w:tcW w:w="1160" w:type="dxa"/>
                  <w:vMerge w:val="restart"/>
                  <w:vAlign w:val="center"/>
                </w:tcPr>
                <w:p>
                  <w:pPr>
                    <w:pStyle w:val="2"/>
                    <w:ind w:left="0" w:leftChars="0" w:firstLine="220" w:firstLineChars="10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1.4</w:t>
                  </w:r>
                  <w:r>
                    <w:rPr>
                      <w:rFonts w:hint="eastAsia" w:ascii="宋体" w:hAnsi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1436" w:type="dxa"/>
                  <w:vAlign w:val="center"/>
                </w:tcPr>
                <w:p>
                  <w:pPr>
                    <w:pStyle w:val="2"/>
                    <w:ind w:left="0" w:leftChars="0" w:firstLine="0" w:firstLineChars="0"/>
                    <w:jc w:val="both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1193560.8</w:t>
                  </w:r>
                </w:p>
              </w:tc>
              <w:tc>
                <w:tcPr>
                  <w:tcW w:w="756" w:type="dxa"/>
                  <w:vAlign w:val="center"/>
                </w:tcPr>
                <w:p>
                  <w:pPr>
                    <w:pStyle w:val="2"/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467" w:hRule="atLeast"/>
              </w:trPr>
              <w:tc>
                <w:tcPr>
                  <w:tcW w:w="818" w:type="dxa"/>
                  <w:vMerge w:val="continue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989" w:type="dxa"/>
                  <w:vMerge w:val="continue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67" w:type="dxa"/>
                </w:tcPr>
                <w:p>
                  <w:pPr>
                    <w:pStyle w:val="2"/>
                    <w:ind w:left="0" w:leftChars="0" w:firstLine="0" w:firstLineChars="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单位产品综合能耗</w:t>
                  </w:r>
                </w:p>
              </w:tc>
              <w:tc>
                <w:tcPr>
                  <w:tcW w:w="1170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Kgce/kg</w:t>
                  </w:r>
                </w:p>
              </w:tc>
              <w:tc>
                <w:tcPr>
                  <w:tcW w:w="1940" w:type="dxa"/>
                </w:tcPr>
                <w:p>
                  <w:pPr>
                    <w:pStyle w:val="2"/>
                    <w:ind w:left="0" w:leftChars="0" w:firstLine="440" w:firstLineChars="200"/>
                    <w:rPr>
                      <w:rFonts w:hint="default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1.4</w:t>
                  </w:r>
                  <w:r>
                    <w:rPr>
                      <w:rFonts w:hint="eastAsia" w:ascii="宋体" w:hAnsi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1160" w:type="dxa"/>
                  <w:vMerge w:val="continue"/>
                  <w:vAlign w:val="top"/>
                </w:tcPr>
                <w:p>
                  <w:pPr>
                    <w:pStyle w:val="2"/>
                    <w:ind w:left="0" w:leftChars="0" w:firstLine="210" w:firstLineChars="100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436" w:type="dxa"/>
                </w:tcPr>
                <w:p>
                  <w:pPr>
                    <w:pStyle w:val="2"/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  <w:t>1.39</w:t>
                  </w:r>
                </w:p>
              </w:tc>
              <w:tc>
                <w:tcPr>
                  <w:tcW w:w="756" w:type="dxa"/>
                </w:tcPr>
                <w:p>
                  <w:pPr>
                    <w:pStyle w:val="2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</w:rPr>
                  </w:pP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4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能源数据的收集策划</w:t>
            </w:r>
          </w:p>
        </w:tc>
        <w:tc>
          <w:tcPr>
            <w:tcW w:w="9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En6.6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cs="Times New Roman"/>
                <w:szCs w:val="22"/>
                <w:lang w:val="en-US" w:eastAsia="zh-CN"/>
              </w:rPr>
              <w:t>该企业根据能源统计和能源核算以及成本考核等因素，对能源数据的收集进行了策划，并通过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生产统计表（日报表）的形式予以展示，按照数据收集策划的要求对能源消耗进行成本核算和考核，基本满足企业能源管理的要求。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但企业并未形成文件化或准则要求，建议企业逐步改进，已与企业进行沟通。</w:t>
            </w:r>
          </w:p>
        </w:tc>
        <w:tc>
          <w:tcPr>
            <w:tcW w:w="884" w:type="dxa"/>
          </w:tcPr>
          <w:p/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2160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运行控制、沟通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En7.4/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6.6/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8.1/9.1.1</w:t>
            </w:r>
          </w:p>
        </w:tc>
        <w:tc>
          <w:tcPr>
            <w:tcW w:w="107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firstLine="420" w:firstLineChars="200"/>
              <w:jc w:val="left"/>
              <w:textAlignment w:val="auto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cs="Times New Roman"/>
                <w:lang w:val="en-US" w:eastAsia="zh-CN"/>
              </w:rPr>
              <w:t>成都联虹钼业有限公司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是一家专业研发、生产和销售</w:t>
            </w:r>
            <w:r>
              <w:rPr>
                <w:rFonts w:hint="eastAsia" w:ascii="宋体" w:hAnsi="宋体" w:cs="Times New Roman"/>
                <w:lang w:val="en-US" w:eastAsia="zh-CN"/>
              </w:rPr>
              <w:t>钨钼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的企业，公司产品广泛应用于</w:t>
            </w:r>
            <w:r>
              <w:rPr>
                <w:rFonts w:hint="eastAsia" w:ascii="宋体" w:hAnsi="宋体" w:cs="Times New Roman"/>
                <w:lang w:val="en-US" w:eastAsia="zh-CN"/>
              </w:rPr>
              <w:t>钨钼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等各个环节。引进</w:t>
            </w:r>
            <w:r>
              <w:rPr>
                <w:rFonts w:hint="eastAsia" w:ascii="宋体" w:hAnsi="宋体" w:cs="Times New Roman"/>
                <w:lang w:val="en-US" w:eastAsia="zh-CN"/>
              </w:rPr>
              <w:t>国外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的先进技术和设备,为国内外</w:t>
            </w:r>
            <w:r>
              <w:rPr>
                <w:rFonts w:hint="eastAsia" w:ascii="宋体" w:hAnsi="宋体" w:cs="Times New Roman"/>
                <w:lang w:val="en-US" w:eastAsia="zh-CN"/>
              </w:rPr>
              <w:t>钨钼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行业客户提供高品质、可循环使用的</w:t>
            </w:r>
            <w:r>
              <w:rPr>
                <w:rFonts w:hint="eastAsia" w:ascii="宋体" w:hAnsi="宋体" w:cs="Times New Roman"/>
                <w:lang w:val="en-US" w:eastAsia="zh-CN"/>
              </w:rPr>
              <w:t>钨钼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。</w:t>
            </w:r>
            <w:r>
              <w:rPr>
                <w:rFonts w:hint="eastAsia" w:ascii="宋体" w:hAnsi="宋体" w:cs="Times New Roman"/>
                <w:lang w:val="en-US" w:eastAsia="zh-CN"/>
              </w:rPr>
              <w:t>联虹钨钼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在发展历程中，秉承“质量和创新是企业生命线”的理念形成具有专业技术的设计团队，配备专业的材料检测室、运输包装实验室，为客户设计和定制实用、安全、经济的整体包装解决方案。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firstLine="420" w:firstLineChars="200"/>
              <w:jc w:val="left"/>
              <w:textAlignment w:val="auto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 xml:space="preserve">通过运用多个数据化管理系统，形成产、供、销科学之规划和管理，并可以完全根据客户之不同要求 设计、生产和安装，以此满足客户需要。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一、工艺流程：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生产工艺流程图：</w:t>
            </w:r>
          </w:p>
          <w:p>
            <w:pPr>
              <w:pStyle w:val="3"/>
            </w:pPr>
            <w:r>
              <w:drawing>
                <wp:inline distT="0" distB="0" distL="114300" distR="114300">
                  <wp:extent cx="5434965" cy="5365750"/>
                  <wp:effectExtent l="0" t="0" r="635" b="6350"/>
                  <wp:docPr id="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965" cy="536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</w:pPr>
          </w:p>
          <w:p>
            <w:pPr>
              <w:pStyle w:val="3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drawing>
                <wp:inline distT="0" distB="0" distL="114300" distR="114300">
                  <wp:extent cx="5746750" cy="4862195"/>
                  <wp:effectExtent l="0" t="0" r="6350" b="1905"/>
                  <wp:docPr id="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0" cy="486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生产控制情况：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default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抽查：202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年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月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1号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份生产统计表（日报表）和202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年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月份生产统计表（日报表）分析当月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能耗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与产品的消耗等数据，对能源消耗进行控制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。</w:t>
            </w: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三、设备管理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提供：设备管理制度及生产设备台账，编制了设备管理制度和生产设备台账，记录主要用能设备</w:t>
            </w: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85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台，对主要耗能设备进行识别，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0000FF"/>
                <w:szCs w:val="22"/>
                <w:lang w:val="en-US" w:eastAsia="zh-CN"/>
              </w:rPr>
              <w:t>未对主要耗能设备的能耗情况进行测试。——问题项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主要耗能设备</w:t>
            </w:r>
          </w:p>
          <w:p>
            <w:pPr>
              <w:pStyle w:val="3"/>
              <w:numPr>
                <w:ilvl w:val="0"/>
                <w:numId w:val="0"/>
              </w:numPr>
              <w:ind w:firstLine="630" w:firstLineChars="300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中频炉、加热炉、退火炉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等</w:t>
            </w:r>
          </w:p>
          <w:p>
            <w:pPr>
              <w:pStyle w:val="3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leftChars="0"/>
              <w:jc w:val="left"/>
              <w:textAlignment w:val="auto"/>
              <w:rPr>
                <w:rFonts w:hint="eastAsia" w:ascii="宋体" w:hAnsi="宋体" w:eastAsia="宋体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cs="Times New Roman"/>
                <w:szCs w:val="22"/>
                <w:lang w:val="en-US" w:eastAsia="zh-CN"/>
              </w:rPr>
              <w:t>四、</w:t>
            </w: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能源计量管理：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提供：测量设备管理台账见下图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drawing>
                <wp:inline distT="0" distB="0" distL="114300" distR="114300">
                  <wp:extent cx="6656070" cy="1100455"/>
                  <wp:effectExtent l="0" t="0" r="11430" b="4445"/>
                  <wp:docPr id="5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607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宋体" w:hAnsi="宋体" w:eastAsia="宋体" w:cs="Times New Roman"/>
                <w:color w:val="0000FF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FF"/>
                <w:kern w:val="2"/>
                <w:sz w:val="21"/>
                <w:szCs w:val="22"/>
                <w:lang w:val="en-US" w:eastAsia="zh-CN" w:bidi="ar-SA"/>
              </w:rPr>
              <w:t>进出主要次级用能单位的电表配备达不到GB17167标准的要求----观察想</w:t>
            </w:r>
          </w:p>
          <w:p>
            <w:pPr>
              <w:pStyle w:val="4"/>
              <w:spacing w:before="0" w:after="0" w:line="400" w:lineRule="exact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4"/>
              <w:spacing w:before="0" w:after="0" w:line="400" w:lineRule="exact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五、淘汰能耗落后工艺、设备概况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按照国家政策法规文件识别</w:t>
            </w: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成都联虹钼业有限公司</w:t>
            </w: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无相关能耗落后的工艺，</w:t>
            </w: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也无</w:t>
            </w:r>
            <w:r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  <w:t>淘汰落后设备。</w:t>
            </w: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Times New Roman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line="240" w:lineRule="auto"/>
              <w:ind w:leftChars="0"/>
              <w:jc w:val="left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2"/>
                <w:lang w:val="en-US" w:eastAsia="zh-CN"/>
              </w:rPr>
              <w:t>能源绩效</w:t>
            </w:r>
          </w:p>
          <w:p>
            <w:pPr>
              <w:spacing w:before="120" w:beforeLines="50" w:line="360" w:lineRule="auto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2019年公司生产能源消耗实际情况：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2019年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综合能耗为866971.51kgce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；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2019年总产量为583662.43kg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单位产品能耗为：1.4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8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kgce/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kg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。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spacing w:before="120" w:beforeLines="50" w:line="360" w:lineRule="auto"/>
              <w:jc w:val="both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年公司生产能源消耗实际情况：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年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综合能耗为：1193560.80kgce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2020年总产量为：857283.37kg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单位产品能耗为：1.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39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kgce/台。</w:t>
            </w:r>
          </w:p>
          <w:p>
            <w:pPr>
              <w:pStyle w:val="2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spacing w:before="120" w:beforeLines="50" w:line="360" w:lineRule="auto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2021年1月-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8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月用能情况如下：</w:t>
            </w:r>
          </w:p>
          <w:p>
            <w:pPr>
              <w:pStyle w:val="2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2021年1-8月份，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综合能耗为：907874.13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kgce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；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2021年1-8月份总产量为：531931.53kg；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2021年1-8月份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单位产品综合能耗1.7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（kgce/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kg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）；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t>有上述指标完成情况来看2021年1-8月份已经超过制定的目标，需要分析原因，制定节能措施。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七、现场巡视情况：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现场查看生产控制和设备运行情况，部分生产设备正在运行现场生产秩序良好，未发现跑冒滴漏现象；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现场计量设备有计量确认合格证。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00350" cy="1725930"/>
                  <wp:effectExtent l="0" t="0" r="6350" b="1270"/>
                  <wp:docPr id="52" name="图片 52" descr="e98ad7160667d0cd66ea2b139800d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e98ad7160667d0cd66ea2b139800d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472690" cy="1723390"/>
                  <wp:effectExtent l="0" t="0" r="3810" b="3810"/>
                  <wp:docPr id="53" name="图片 53" descr="454ca2bf0f1ef4407ea9c4819da9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454ca2bf0f1ef4407ea9c4819da9a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940685" cy="1992630"/>
                  <wp:effectExtent l="0" t="0" r="5715" b="1270"/>
                  <wp:docPr id="54" name="图片 54" descr="f1502d995473d40f9717903bd070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f1502d995473d40f9717903bd070ed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 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71470" cy="2011680"/>
                  <wp:effectExtent l="0" t="0" r="11430" b="7620"/>
                  <wp:docPr id="55" name="图片 55" descr="db8389f569a4fcf61e306939e8c8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db8389f569a4fcf61e306939e8c86c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371090" cy="1778000"/>
                  <wp:effectExtent l="0" t="0" r="3810" b="0"/>
                  <wp:docPr id="56" name="图片 56" descr="573c85420b7f404ee4b3f1c998fa6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573c85420b7f404ee4b3f1c998fa69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383790" cy="1788160"/>
                  <wp:effectExtent l="0" t="0" r="3810" b="2540"/>
                  <wp:docPr id="57" name="图片 57" descr="e16f2787f065d2ba01dd26ed3c556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e16f2787f065d2ba01dd26ed3c556d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90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135505" cy="2847340"/>
                  <wp:effectExtent l="0" t="0" r="10795" b="10160"/>
                  <wp:docPr id="58" name="图片 58" descr="9a0bc545372c2d1d20d42ffc556e5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9a0bc545372c2d1d20d42ffc556e57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28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111375" cy="2814955"/>
                  <wp:effectExtent l="0" t="0" r="9525" b="4445"/>
                  <wp:docPr id="59" name="图片 59" descr="03f5079ead581e10841afe0ff95a4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03f5079ead581e10841afe0ff95a4c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281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834005" cy="2348865"/>
                  <wp:effectExtent l="0" t="0" r="10795" b="635"/>
                  <wp:docPr id="60" name="图片 60" descr="e017e234d9e62a39950f81ab24190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e017e234d9e62a39950f81ab24190c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1678305" cy="2237740"/>
                  <wp:effectExtent l="0" t="0" r="10795" b="10160"/>
                  <wp:docPr id="61" name="图片 61" descr="1d707e84ae6ba2db327ac5c3855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1d707e84ae6ba2db327ac5c385566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978785" cy="2456180"/>
                  <wp:effectExtent l="0" t="0" r="5715" b="7620"/>
                  <wp:docPr id="62" name="图片 62" descr="d2857a0e410ccae5fd42913d09481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d2857a0e410ccae5fd42913d09481c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24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936240" cy="2435860"/>
                  <wp:effectExtent l="0" t="0" r="10160" b="2540"/>
                  <wp:docPr id="63" name="图片 63" descr="c4ea771470495408322aaf24f278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4ea771470495408322aaf24f2783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40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652395" cy="1989455"/>
                  <wp:effectExtent l="0" t="0" r="1905" b="4445"/>
                  <wp:docPr id="64" name="图片 64" descr="efa8cefa3e23e490dfcc1b8a4f80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efa8cefa3e23e490dfcc1b8a4f80bd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   </w:t>
            </w:r>
            <w:r>
              <w:rPr>
                <w:rFonts w:hint="default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662555" cy="1997075"/>
                  <wp:effectExtent l="0" t="0" r="4445" b="9525"/>
                  <wp:docPr id="65" name="图片 65" descr="662b1c13d693063d6757a3341117b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662b1c13d693063d6757a3341117b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5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3960495" cy="2970530"/>
                  <wp:effectExtent l="0" t="0" r="1905" b="1270"/>
                  <wp:docPr id="66" name="图片 66" descr="c5e6b63ca734a7332e1e2f822d902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c5e6b63ca734a7332e1e2f822d902d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495" cy="297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生产控制及设备运行情况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抽查《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旋压坩埚修磨作业指导书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》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、《620轧机换辊作业指导书》、《700轧机换辊作业指导书》、《800轧机作开坯业指导书》、《800轧机趟料作业指导书》、《800轧机换辊作业指导书》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规定了操作标准，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现场查看操作规程情况：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ind w:leftChars="0"/>
              <w:textAlignment w:val="auto"/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提供《作业</w:t>
            </w:r>
            <w:r>
              <w:rPr>
                <w:rFonts w:hint="eastAsia" w:ascii="宋体" w:hAnsi="宋体" w:cs="Times New Roman"/>
                <w:kern w:val="2"/>
                <w:sz w:val="21"/>
                <w:szCs w:val="22"/>
                <w:lang w:val="en-US" w:eastAsia="zh-CN" w:bidi="ar-SA"/>
              </w:rPr>
              <w:t>记录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2"/>
                <w:lang w:val="en-US" w:eastAsia="zh-CN" w:bidi="ar-SA"/>
              </w:rPr>
              <w:t>》，平时的操作能够按照标准进行操作。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851910" cy="3521075"/>
                  <wp:effectExtent l="0" t="0" r="8890" b="9525"/>
                  <wp:docPr id="67" name="图片 67" descr="16310043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1631004354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910" cy="35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981450" cy="5175250"/>
                  <wp:effectExtent l="0" t="0" r="6350" b="6350"/>
                  <wp:docPr id="68" name="图片 68" descr="16310044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1631004406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517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708400" cy="5263515"/>
                  <wp:effectExtent l="0" t="0" r="0" b="6985"/>
                  <wp:docPr id="69" name="图片 69" descr="16310044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1631004446(1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526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设备维护保养的情况：</w:t>
            </w:r>
          </w:p>
          <w:p>
            <w:pPr>
              <w:tabs>
                <w:tab w:val="left" w:pos="1660"/>
                <w:tab w:val="center" w:pos="7286"/>
              </w:tabs>
              <w:spacing w:line="400" w:lineRule="exact"/>
              <w:jc w:val="both"/>
              <w:textAlignment w:val="baseline"/>
              <w:rPr>
                <w:rFonts w:hint="eastAsia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cs="Times New Roman"/>
                <w:color w:val="auto"/>
                <w:szCs w:val="22"/>
                <w:lang w:val="en-US" w:eastAsia="zh-CN"/>
              </w:rPr>
              <w:t>提供《设备维护保养规程》和《设备保养计划》并提供《设备维护保养检查表》、《设备检查表》如下图：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44185" cy="4012565"/>
                  <wp:effectExtent l="0" t="0" r="5715" b="635"/>
                  <wp:docPr id="70" name="图片 70" descr="16310055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1631005505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185" cy="401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397625" cy="5047615"/>
                  <wp:effectExtent l="0" t="0" r="3175" b="6985"/>
                  <wp:docPr id="71" name="图片 71" descr="163100558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1631005587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625" cy="504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</w:t>
            </w:r>
          </w:p>
        </w:tc>
        <w:tc>
          <w:tcPr>
            <w:tcW w:w="884" w:type="dxa"/>
          </w:tcPr>
          <w:p/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pStyle w:val="2"/>
              <w:ind w:left="0" w:leftChars="0" w:firstLine="0" w:firstLineChars="0"/>
            </w:pPr>
          </w:p>
          <w:p>
            <w:pPr>
              <w:pStyle w:val="2"/>
              <w:ind w:left="0" w:leftChars="0" w:firstLine="0" w:firstLineChars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t xml:space="preserve"> 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2160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不符合纠正/持续改进</w:t>
            </w:r>
          </w:p>
        </w:tc>
        <w:tc>
          <w:tcPr>
            <w:tcW w:w="96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En10.1/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10.2</w:t>
            </w:r>
          </w:p>
        </w:tc>
        <w:tc>
          <w:tcPr>
            <w:tcW w:w="107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Times New Roman" w:hAnsi="Times New Roman" w:eastAsia="宋体" w:cs="Times New Roman"/>
                <w:color w:val="0000FF"/>
                <w:szCs w:val="22"/>
                <w:lang w:val="en-US" w:eastAsia="zh-CN"/>
              </w:rPr>
            </w:pPr>
            <w:r>
              <w:rPr>
                <w:rFonts w:hint="eastAsia" w:cs="Times New Roman"/>
                <w:color w:val="0000FF"/>
                <w:szCs w:val="22"/>
                <w:lang w:val="en-US" w:eastAsia="zh-CN"/>
              </w:rPr>
              <w:t>经检查发现，2021年1-8月份的单位产品能耗以及超目标，没有进行原因分析，并制定节能措施。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内审不符合项：</w:t>
            </w:r>
            <w:r>
              <w:rPr>
                <w:rFonts w:hint="eastAsia" w:cs="Times New Roman"/>
                <w:color w:val="auto"/>
                <w:szCs w:val="22"/>
                <w:lang w:val="en-US" w:eastAsia="zh-CN"/>
              </w:rPr>
              <w:t>内部审核发现1个不符合项，已经整改完毕，并制定了纠正措施</w:t>
            </w: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2"/>
                <w:lang w:val="en-US" w:eastAsia="zh-CN"/>
              </w:rPr>
              <w:t>现场验证：纠正措施有效。</w:t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</w:tc>
        <w:tc>
          <w:tcPr>
            <w:tcW w:w="884" w:type="dxa"/>
          </w:tcPr>
          <w:p/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</w:t>
            </w:r>
          </w:p>
        </w:tc>
      </w:tr>
    </w:tbl>
    <w:p>
      <w:pPr>
        <w:pStyle w:val="2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/>
    <w:p>
      <w:pPr>
        <w:pStyle w:val="6"/>
      </w:pPr>
    </w:p>
    <w:p>
      <w:pPr>
        <w:pStyle w:val="6"/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6"/>
        <w:rFonts w:hint="default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6"/>
        <w:rFonts w:hint="default"/>
      </w:rPr>
      <w:t>北京国标联合认证有限公司</w:t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</w:p>
  <w:p>
    <w:pPr>
      <w:pStyle w:val="7"/>
      <w:pBdr>
        <w:bottom w:val="none" w:color="auto" w:sz="0" w:space="1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016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23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  <w:p/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60288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EGquXWAAAACgEAAA8AAAAAAAAAAQAgAAAAIgAA&#10;AGRycy9kb3ducmV2LnhtbFBLAQIUABQAAAAIAIdO4kCPdkp10QEAAI4DAAAOAAAAAAAAAAEAIAAA&#10;ACUBAABkcnMvZTJvRG9jLnhtbFBLBQYAAAAABgAGAFkBAABo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rStyle w:val="16"/>
        <w:rFonts w:hint="default"/>
        <w:w w:val="90"/>
      </w:rPr>
      <w:t>Beijing International Standard united Certification Co.,Ltd.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F8C1E2"/>
    <w:multiLevelType w:val="singleLevel"/>
    <w:tmpl w:val="8CF8C1E2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5FCE0DA"/>
    <w:multiLevelType w:val="singleLevel"/>
    <w:tmpl w:val="05FCE0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3D91676"/>
    <w:multiLevelType w:val="singleLevel"/>
    <w:tmpl w:val="23D9167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87C4961"/>
    <w:multiLevelType w:val="singleLevel"/>
    <w:tmpl w:val="387C496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536930"/>
    <w:rsid w:val="00564E53"/>
    <w:rsid w:val="005D5659"/>
    <w:rsid w:val="00600C20"/>
    <w:rsid w:val="00644FE2"/>
    <w:rsid w:val="0067640C"/>
    <w:rsid w:val="006E678B"/>
    <w:rsid w:val="007757F3"/>
    <w:rsid w:val="007C1B48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B4D08ED"/>
    <w:rsid w:val="0D502897"/>
    <w:rsid w:val="0E9D36FE"/>
    <w:rsid w:val="0EC22237"/>
    <w:rsid w:val="10024BD4"/>
    <w:rsid w:val="108219C2"/>
    <w:rsid w:val="153F1A43"/>
    <w:rsid w:val="18E0378C"/>
    <w:rsid w:val="1B635529"/>
    <w:rsid w:val="1D2F1751"/>
    <w:rsid w:val="1E92443A"/>
    <w:rsid w:val="1F303612"/>
    <w:rsid w:val="22F3151F"/>
    <w:rsid w:val="23F57CAA"/>
    <w:rsid w:val="25302F06"/>
    <w:rsid w:val="25726879"/>
    <w:rsid w:val="265042EE"/>
    <w:rsid w:val="29550A82"/>
    <w:rsid w:val="2B882F6D"/>
    <w:rsid w:val="2C615A70"/>
    <w:rsid w:val="2CB52A35"/>
    <w:rsid w:val="2D5D32D6"/>
    <w:rsid w:val="2FDA7696"/>
    <w:rsid w:val="3414352C"/>
    <w:rsid w:val="366F12A2"/>
    <w:rsid w:val="37022033"/>
    <w:rsid w:val="38F903D7"/>
    <w:rsid w:val="397A1146"/>
    <w:rsid w:val="3E500208"/>
    <w:rsid w:val="3FD87230"/>
    <w:rsid w:val="435D7392"/>
    <w:rsid w:val="451658FE"/>
    <w:rsid w:val="48EE64E2"/>
    <w:rsid w:val="49907112"/>
    <w:rsid w:val="5062731F"/>
    <w:rsid w:val="51B355DC"/>
    <w:rsid w:val="51CB0431"/>
    <w:rsid w:val="56686FBC"/>
    <w:rsid w:val="56955064"/>
    <w:rsid w:val="58646113"/>
    <w:rsid w:val="5DD945F3"/>
    <w:rsid w:val="5EA12B9A"/>
    <w:rsid w:val="60A703C5"/>
    <w:rsid w:val="665253F3"/>
    <w:rsid w:val="66957D31"/>
    <w:rsid w:val="6A997D30"/>
    <w:rsid w:val="6B317C7C"/>
    <w:rsid w:val="6B651E3A"/>
    <w:rsid w:val="6C3312C7"/>
    <w:rsid w:val="70F503F3"/>
    <w:rsid w:val="75532C29"/>
    <w:rsid w:val="76705E2D"/>
    <w:rsid w:val="788C0C63"/>
    <w:rsid w:val="790565FF"/>
    <w:rsid w:val="7AEC0F33"/>
    <w:rsid w:val="7CDA12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sz w:val="24"/>
    </w:r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0">
    <w:name w:val="Table Grid"/>
    <w:basedOn w:val="9"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qFormat/>
    <w:uiPriority w:val="99"/>
    <w:rPr>
      <w:color w:val="0000FF"/>
      <w:u w:val="single"/>
    </w:rPr>
  </w:style>
  <w:style w:type="character" w:customStyle="1" w:styleId="13">
    <w:name w:val="页眉 字符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字符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4</TotalTime>
  <ScaleCrop>false</ScaleCrop>
  <LinksUpToDate>false</LinksUpToDate>
  <CharactersWithSpaces>147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Lenovo</cp:lastModifiedBy>
  <dcterms:modified xsi:type="dcterms:W3CDTF">2021-09-11T01:07:11Z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A2A87B4AA3C04090A0C757B97B7400CA</vt:lpwstr>
  </property>
</Properties>
</file>